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D9E" w:rsidRPr="00AA7F23" w:rsidRDefault="00553BE7">
      <w:pPr>
        <w:jc w:val="center"/>
        <w:rPr>
          <w:rFonts w:ascii="Times New Roman" w:eastAsia="ＭＳ 明朝" w:hAnsi="Times New Roman"/>
          <w:b/>
          <w:sz w:val="32"/>
        </w:rPr>
      </w:pPr>
      <w:bookmarkStart w:id="0" w:name="_GoBack"/>
      <w:bookmarkEnd w:id="0"/>
      <w:r>
        <w:rPr>
          <w:rFonts w:ascii="Times New Roman" w:eastAsia="ＭＳ 明朝" w:hAnsi="ＭＳ 明朝" w:hint="eastAsia"/>
          <w:b/>
          <w:sz w:val="32"/>
        </w:rPr>
        <w:t>L2</w:t>
      </w:r>
      <w:r>
        <w:rPr>
          <w:rFonts w:ascii="Times New Roman" w:eastAsia="ＭＳ 明朝" w:hAnsi="ＭＳ 明朝" w:hint="eastAsia"/>
          <w:b/>
          <w:sz w:val="32"/>
        </w:rPr>
        <w:t>関係節処理と熟達度の関係</w:t>
      </w:r>
    </w:p>
    <w:p w:rsidR="008D2D9E" w:rsidRPr="00AA7F23" w:rsidRDefault="008D2D9E">
      <w:pPr>
        <w:rPr>
          <w:rFonts w:ascii="Times New Roman" w:eastAsia="ＭＳ 明朝" w:hAnsi="Times New Roman"/>
        </w:rPr>
      </w:pPr>
    </w:p>
    <w:p w:rsidR="008D2D9E" w:rsidRPr="00AA7F23" w:rsidRDefault="00553BE7" w:rsidP="008D2D9E">
      <w:pPr>
        <w:jc w:val="center"/>
        <w:rPr>
          <w:rFonts w:ascii="Times New Roman" w:eastAsia="ＭＳ 明朝" w:hAnsi="Times New Roman"/>
        </w:rPr>
      </w:pPr>
      <w:r>
        <w:rPr>
          <w:rFonts w:ascii="Times New Roman" w:eastAsia="ＭＳ 明朝" w:hAnsi="ＭＳ 明朝" w:hint="eastAsia"/>
        </w:rPr>
        <w:t>橋本　健一（近畿大学）</w:t>
      </w:r>
    </w:p>
    <w:p w:rsidR="008D2D9E" w:rsidRPr="00AA7F23" w:rsidRDefault="008D2D9E">
      <w:pPr>
        <w:rPr>
          <w:rFonts w:ascii="Times New Roman" w:eastAsia="ＭＳ 明朝" w:hAnsi="Times New Roman"/>
        </w:rPr>
      </w:pPr>
    </w:p>
    <w:p w:rsidR="008D2D9E" w:rsidRPr="00AA7F23" w:rsidRDefault="008D2D9E">
      <w:pPr>
        <w:jc w:val="center"/>
        <w:rPr>
          <w:rFonts w:ascii="Times New Roman" w:eastAsia="ＭＳ 明朝" w:hAnsi="Times New Roman"/>
        </w:rPr>
      </w:pPr>
      <w:r w:rsidRPr="00AA7F23">
        <w:rPr>
          <w:rFonts w:ascii="Times New Roman" w:eastAsia="ＭＳ 明朝" w:hAnsi="ＭＳ 明朝"/>
        </w:rPr>
        <w:t>キーワード：</w:t>
      </w:r>
      <w:r w:rsidR="00553BE7">
        <w:rPr>
          <w:rFonts w:ascii="Times New Roman" w:eastAsia="ＭＳ 明朝" w:hAnsi="ＭＳ 明朝" w:hint="eastAsia"/>
        </w:rPr>
        <w:t>文理解処理</w:t>
      </w:r>
      <w:r w:rsidRPr="00AA7F23">
        <w:rPr>
          <w:rFonts w:ascii="Times New Roman" w:eastAsia="ＭＳ 明朝" w:hAnsi="ＭＳ 明朝"/>
        </w:rPr>
        <w:t>，</w:t>
      </w:r>
      <w:r w:rsidR="00553BE7">
        <w:rPr>
          <w:rFonts w:ascii="Times New Roman" w:eastAsia="ＭＳ 明朝" w:hAnsi="ＭＳ 明朝" w:hint="eastAsia"/>
        </w:rPr>
        <w:t>熟達度</w:t>
      </w:r>
      <w:r w:rsidRPr="00AA7F23">
        <w:rPr>
          <w:rFonts w:ascii="Times New Roman" w:eastAsia="ＭＳ 明朝" w:hAnsi="ＭＳ 明朝"/>
        </w:rPr>
        <w:t>，</w:t>
      </w:r>
      <w:r w:rsidR="00553BE7">
        <w:rPr>
          <w:rFonts w:ascii="Times New Roman" w:eastAsia="ＭＳ 明朝" w:hAnsi="ＭＳ 明朝" w:hint="eastAsia"/>
        </w:rPr>
        <w:t>関係節</w:t>
      </w:r>
    </w:p>
    <w:p w:rsidR="008D2D9E" w:rsidRPr="00AA7F23" w:rsidRDefault="008D2D9E">
      <w:pPr>
        <w:rPr>
          <w:rFonts w:ascii="Times New Roman" w:eastAsia="ＭＳ 明朝" w:hAnsi="Times New Roman"/>
        </w:rPr>
      </w:pPr>
    </w:p>
    <w:p w:rsidR="008D2D9E" w:rsidRPr="00AA7F23" w:rsidRDefault="008D2D9E">
      <w:pPr>
        <w:rPr>
          <w:rFonts w:ascii="Times New Roman" w:eastAsia="ＭＳ 明朝" w:hAnsi="Times New Roman"/>
          <w:b/>
        </w:rPr>
      </w:pPr>
      <w:r w:rsidRPr="00AA7F23">
        <w:rPr>
          <w:rFonts w:ascii="Times New Roman" w:eastAsia="ＭＳ 明朝" w:hAnsi="ＭＳ 明朝"/>
          <w:b/>
        </w:rPr>
        <w:t>１．はじめに</w:t>
      </w:r>
    </w:p>
    <w:p w:rsidR="008D2D9E" w:rsidRPr="00AA7F23" w:rsidRDefault="00764985" w:rsidP="00764985">
      <w:pPr>
        <w:ind w:firstLineChars="100" w:firstLine="220"/>
        <w:rPr>
          <w:rFonts w:ascii="Times New Roman" w:eastAsia="ＭＳ 明朝" w:hAnsi="Times New Roman"/>
        </w:rPr>
      </w:pPr>
      <w:r w:rsidRPr="00764985">
        <w:rPr>
          <w:rFonts w:ascii="Times New Roman" w:eastAsia="ＭＳ 明朝" w:hAnsi="Times New Roman" w:hint="eastAsia"/>
        </w:rPr>
        <w:t>第二言語および外国語</w:t>
      </w:r>
      <w:r w:rsidRPr="00764985">
        <w:rPr>
          <w:rFonts w:ascii="Times New Roman" w:eastAsia="ＭＳ 明朝" w:hAnsi="Times New Roman" w:hint="eastAsia"/>
        </w:rPr>
        <w:t>(L2)</w:t>
      </w:r>
      <w:r w:rsidRPr="00764985">
        <w:rPr>
          <w:rFonts w:ascii="Times New Roman" w:eastAsia="ＭＳ 明朝" w:hAnsi="Times New Roman" w:hint="eastAsia"/>
        </w:rPr>
        <w:t>の心理言語学研究では、比較的熟達度の高い学習者を対象として、</w:t>
      </w:r>
      <w:r w:rsidRPr="00764985">
        <w:rPr>
          <w:rFonts w:ascii="Times New Roman" w:eastAsia="ＭＳ 明朝" w:hAnsi="Times New Roman" w:hint="eastAsia"/>
        </w:rPr>
        <w:t>L2</w:t>
      </w:r>
      <w:r w:rsidRPr="00764985">
        <w:rPr>
          <w:rFonts w:ascii="Times New Roman" w:eastAsia="ＭＳ 明朝" w:hAnsi="Times New Roman" w:hint="eastAsia"/>
        </w:rPr>
        <w:t>文理解処理に関わる様々な要因が検討されてきた。一方、熟達度の低い学習者の文理解処理に関しては、これまで実証的研究がほとんど行われていない。</w:t>
      </w:r>
      <w:r w:rsidRPr="00CD425D">
        <w:rPr>
          <w:rFonts w:ascii="Times New Roman" w:eastAsia="ＭＳ 明朝" w:hAnsi="Times New Roman" w:hint="eastAsia"/>
        </w:rPr>
        <w:t>初級学習者の文理解処理の特徴を知ること</w:t>
      </w:r>
      <w:r w:rsidR="00523283" w:rsidRPr="00CD425D">
        <w:rPr>
          <w:rFonts w:ascii="Times New Roman" w:eastAsia="ＭＳ 明朝" w:hAnsi="Times New Roman" w:hint="eastAsia"/>
        </w:rPr>
        <w:t>は</w:t>
      </w:r>
      <w:r w:rsidRPr="00CD425D">
        <w:rPr>
          <w:rFonts w:ascii="Times New Roman" w:eastAsia="ＭＳ 明朝" w:hAnsi="Times New Roman" w:hint="eastAsia"/>
        </w:rPr>
        <w:t>、</w:t>
      </w:r>
      <w:r w:rsidRPr="00CD425D">
        <w:rPr>
          <w:rFonts w:ascii="Times New Roman" w:eastAsia="ＭＳ 明朝" w:hAnsi="Times New Roman" w:hint="eastAsia"/>
        </w:rPr>
        <w:t>L2</w:t>
      </w:r>
      <w:r w:rsidRPr="00CD425D">
        <w:rPr>
          <w:rFonts w:ascii="Times New Roman" w:eastAsia="ＭＳ 明朝" w:hAnsi="Times New Roman" w:hint="eastAsia"/>
        </w:rPr>
        <w:t>文法能力の発達や、熟達化に伴う目標言語理解の自動化プロセスの解明に</w:t>
      </w:r>
      <w:r w:rsidR="00523283" w:rsidRPr="00CD425D">
        <w:rPr>
          <w:rFonts w:ascii="Times New Roman" w:eastAsia="ＭＳ 明朝" w:hAnsi="Times New Roman" w:hint="eastAsia"/>
        </w:rPr>
        <w:t>向けての重要な一歩となる</w:t>
      </w:r>
      <w:r w:rsidRPr="00CD425D">
        <w:rPr>
          <w:rFonts w:ascii="Times New Roman" w:eastAsia="ＭＳ 明朝" w:hAnsi="Times New Roman" w:hint="eastAsia"/>
        </w:rPr>
        <w:t>。</w:t>
      </w:r>
      <w:r>
        <w:rPr>
          <w:rFonts w:ascii="Times New Roman" w:eastAsia="ＭＳ 明朝" w:hAnsi="Times New Roman" w:hint="eastAsia"/>
        </w:rPr>
        <w:t>そこで</w:t>
      </w:r>
      <w:r w:rsidRPr="00764985">
        <w:rPr>
          <w:rFonts w:ascii="Times New Roman" w:eastAsia="ＭＳ 明朝" w:hAnsi="Times New Roman" w:hint="eastAsia"/>
        </w:rPr>
        <w:t>本研究では、熟達度の異なる</w:t>
      </w:r>
      <w:r w:rsidRPr="00764985">
        <w:rPr>
          <w:rFonts w:ascii="Times New Roman" w:eastAsia="ＭＳ 明朝" w:hAnsi="Times New Roman" w:hint="eastAsia"/>
        </w:rPr>
        <w:t>2</w:t>
      </w:r>
      <w:r w:rsidRPr="00764985">
        <w:rPr>
          <w:rFonts w:ascii="Times New Roman" w:eastAsia="ＭＳ 明朝" w:hAnsi="Times New Roman" w:hint="eastAsia"/>
        </w:rPr>
        <w:t>組の日本人英語学習者が、関係節を含む英文を読む際の読解時間の分析を中心に、熟達度と</w:t>
      </w:r>
      <w:r w:rsidRPr="00764985">
        <w:rPr>
          <w:rFonts w:ascii="Times New Roman" w:eastAsia="ＭＳ 明朝" w:hAnsi="Times New Roman" w:hint="eastAsia"/>
        </w:rPr>
        <w:t>L2</w:t>
      </w:r>
      <w:r w:rsidRPr="00764985">
        <w:rPr>
          <w:rFonts w:ascii="Times New Roman" w:eastAsia="ＭＳ 明朝" w:hAnsi="Times New Roman" w:hint="eastAsia"/>
        </w:rPr>
        <w:t>文理解処理の関係を考察した。</w:t>
      </w:r>
    </w:p>
    <w:p w:rsidR="008D2D9E" w:rsidRPr="00AA7F23" w:rsidRDefault="008D2D9E">
      <w:pPr>
        <w:rPr>
          <w:rFonts w:ascii="Times New Roman" w:eastAsia="ＭＳ 明朝" w:hAnsi="Times New Roman"/>
        </w:rPr>
      </w:pPr>
    </w:p>
    <w:p w:rsidR="008D2D9E" w:rsidRPr="00AA7F23" w:rsidRDefault="008D2D9E">
      <w:pPr>
        <w:rPr>
          <w:rFonts w:ascii="Times New Roman" w:eastAsia="ＭＳ 明朝" w:hAnsi="Times New Roman"/>
          <w:b/>
        </w:rPr>
      </w:pPr>
      <w:r w:rsidRPr="00AA7F23">
        <w:rPr>
          <w:rFonts w:ascii="Times New Roman" w:eastAsia="ＭＳ 明朝" w:hAnsi="ＭＳ 明朝"/>
          <w:b/>
        </w:rPr>
        <w:t>２．</w:t>
      </w:r>
      <w:r w:rsidR="008B3F59">
        <w:rPr>
          <w:rFonts w:ascii="Times New Roman" w:eastAsia="ＭＳ 明朝" w:hAnsi="ＭＳ 明朝" w:hint="eastAsia"/>
          <w:b/>
        </w:rPr>
        <w:t>先行研究</w:t>
      </w:r>
    </w:p>
    <w:p w:rsidR="008D2D9E" w:rsidRDefault="008B3F59" w:rsidP="008D2D9E">
      <w:pPr>
        <w:ind w:firstLineChars="100" w:firstLine="220"/>
        <w:rPr>
          <w:rFonts w:ascii="Times New Roman" w:eastAsia="ＭＳ 明朝" w:hAnsi="ＭＳ 明朝" w:hint="eastAsia"/>
        </w:rPr>
      </w:pPr>
      <w:r>
        <w:rPr>
          <w:rFonts w:ascii="Times New Roman" w:eastAsia="ＭＳ 明朝" w:hAnsi="ＭＳ 明朝" w:hint="eastAsia"/>
        </w:rPr>
        <w:t>関係節を含む文の理解処理</w:t>
      </w:r>
      <w:r w:rsidR="00523283">
        <w:rPr>
          <w:rFonts w:ascii="Times New Roman" w:eastAsia="ＭＳ 明朝" w:hAnsi="ＭＳ 明朝" w:hint="eastAsia"/>
        </w:rPr>
        <w:t>（特に統語処理）</w:t>
      </w:r>
      <w:r>
        <w:rPr>
          <w:rFonts w:ascii="Times New Roman" w:eastAsia="ＭＳ 明朝" w:hAnsi="ＭＳ 明朝" w:hint="eastAsia"/>
        </w:rPr>
        <w:t>に関しては、第一言語</w:t>
      </w:r>
      <w:r w:rsidR="00676AA3">
        <w:rPr>
          <w:rFonts w:ascii="Times New Roman" w:eastAsia="ＭＳ 明朝" w:hAnsi="ＭＳ 明朝" w:hint="eastAsia"/>
        </w:rPr>
        <w:t>(L1)</w:t>
      </w:r>
      <w:r w:rsidRPr="008B3F59">
        <w:rPr>
          <w:rFonts w:ascii="Times New Roman" w:eastAsia="ＭＳ 明朝" w:hAnsi="ＭＳ 明朝" w:hint="eastAsia"/>
        </w:rPr>
        <w:t>の</w:t>
      </w:r>
      <w:r>
        <w:rPr>
          <w:rFonts w:ascii="Times New Roman" w:eastAsia="ＭＳ 明朝" w:hAnsi="ＭＳ 明朝" w:hint="eastAsia"/>
        </w:rPr>
        <w:t>心理言語学研究で多くの実験が行われてきた。その中で特に多く報告されているのが、主格関係節を含む文</w:t>
      </w:r>
      <w:r>
        <w:rPr>
          <w:rFonts w:ascii="Times New Roman" w:eastAsia="ＭＳ 明朝" w:hAnsi="ＭＳ 明朝" w:hint="eastAsia"/>
        </w:rPr>
        <w:t>(1a)</w:t>
      </w:r>
      <w:r>
        <w:rPr>
          <w:rFonts w:ascii="Times New Roman" w:eastAsia="ＭＳ 明朝" w:hAnsi="ＭＳ 明朝" w:hint="eastAsia"/>
        </w:rPr>
        <w:t>よりも、目的格関係節</w:t>
      </w:r>
      <w:r>
        <w:rPr>
          <w:rFonts w:ascii="Times New Roman" w:eastAsia="ＭＳ 明朝" w:hAnsi="ＭＳ 明朝" w:hint="eastAsia"/>
        </w:rPr>
        <w:t>(1b)</w:t>
      </w:r>
      <w:r>
        <w:rPr>
          <w:rFonts w:ascii="Times New Roman" w:eastAsia="ＭＳ 明朝" w:hAnsi="ＭＳ 明朝" w:hint="eastAsia"/>
        </w:rPr>
        <w:t>を含む文のほうが処理が難しい、すなわち処理がより遅く不正確になるという結果である</w:t>
      </w:r>
      <w:r w:rsidR="00BF5CF5">
        <w:rPr>
          <w:rFonts w:ascii="Times New Roman" w:eastAsia="ＭＳ 明朝" w:hAnsi="ＭＳ 明朝" w:hint="eastAsia"/>
        </w:rPr>
        <w:t xml:space="preserve"> </w:t>
      </w:r>
      <w:r w:rsidR="00523283" w:rsidRPr="00523283">
        <w:rPr>
          <w:rFonts w:ascii="Times New Roman" w:eastAsia="ＭＳ 明朝" w:hAnsi="Times New Roman"/>
        </w:rPr>
        <w:t>(</w:t>
      </w:r>
      <w:r w:rsidR="00523283" w:rsidRPr="00523283">
        <w:rPr>
          <w:rFonts w:ascii="Times New Roman" w:hAnsi="Times New Roman"/>
        </w:rPr>
        <w:t>Gibson, Desmet, Grodner, Watson, &amp; Ko, 2005)</w:t>
      </w:r>
      <w:r>
        <w:rPr>
          <w:rFonts w:ascii="Times New Roman" w:eastAsia="ＭＳ 明朝" w:hAnsi="ＭＳ 明朝" w:hint="eastAsia"/>
        </w:rPr>
        <w:t>。</w:t>
      </w:r>
    </w:p>
    <w:p w:rsidR="008B3F59" w:rsidRDefault="008B3F59" w:rsidP="008B3F59">
      <w:pPr>
        <w:rPr>
          <w:rFonts w:ascii="Times New Roman" w:eastAsia="ＭＳ 明朝" w:hAnsi="ＭＳ 明朝" w:hint="eastAsia"/>
        </w:rPr>
      </w:pPr>
    </w:p>
    <w:p w:rsidR="008B3F59" w:rsidRDefault="008B3F59" w:rsidP="008B3F59">
      <w:pPr>
        <w:rPr>
          <w:rFonts w:ascii="Times New Roman" w:eastAsia="ＭＳ 明朝" w:hAnsi="ＭＳ 明朝" w:hint="eastAsia"/>
        </w:rPr>
      </w:pPr>
      <w:r>
        <w:rPr>
          <w:rFonts w:ascii="Times New Roman" w:eastAsia="ＭＳ 明朝" w:hAnsi="ＭＳ 明朝" w:hint="eastAsia"/>
        </w:rPr>
        <w:t xml:space="preserve">(1a) The boy who </w:t>
      </w:r>
      <w:r w:rsidRPr="00BF5CF5">
        <w:rPr>
          <w:rFonts w:ascii="Times New Roman" w:eastAsia="ＭＳ 明朝" w:hAnsi="ＭＳ 明朝" w:hint="eastAsia"/>
          <w:u w:val="single"/>
        </w:rPr>
        <w:t>helped the girl passed the</w:t>
      </w:r>
      <w:r>
        <w:rPr>
          <w:rFonts w:ascii="Times New Roman" w:eastAsia="ＭＳ 明朝" w:hAnsi="ＭＳ 明朝" w:hint="eastAsia"/>
        </w:rPr>
        <w:t xml:space="preserve"> exam last week.</w:t>
      </w:r>
      <w:r w:rsidR="00191616">
        <w:rPr>
          <w:rFonts w:ascii="Times New Roman" w:eastAsia="ＭＳ 明朝" w:hAnsi="ＭＳ 明朝" w:hint="eastAsia"/>
        </w:rPr>
        <w:t xml:space="preserve">　（主格関係節</w:t>
      </w:r>
      <w:r w:rsidR="00353BDA">
        <w:rPr>
          <w:rFonts w:ascii="Times New Roman" w:eastAsia="ＭＳ 明朝" w:hAnsi="ＭＳ 明朝" w:hint="eastAsia"/>
        </w:rPr>
        <w:t>：高頻度語</w:t>
      </w:r>
      <w:r w:rsidR="00191616">
        <w:rPr>
          <w:rFonts w:ascii="Times New Roman" w:eastAsia="ＭＳ 明朝" w:hAnsi="ＭＳ 明朝" w:hint="eastAsia"/>
        </w:rPr>
        <w:t>）</w:t>
      </w:r>
    </w:p>
    <w:p w:rsidR="008B3F59" w:rsidRDefault="008B3F59" w:rsidP="008B3F59">
      <w:pPr>
        <w:rPr>
          <w:rFonts w:ascii="Times New Roman" w:eastAsia="ＭＳ 明朝" w:hAnsi="ＭＳ 明朝" w:hint="eastAsia"/>
        </w:rPr>
      </w:pPr>
      <w:r>
        <w:rPr>
          <w:rFonts w:ascii="Times New Roman" w:eastAsia="ＭＳ 明朝" w:hAnsi="ＭＳ 明朝" w:hint="eastAsia"/>
        </w:rPr>
        <w:t xml:space="preserve">(1b) The boy who </w:t>
      </w:r>
      <w:r w:rsidRPr="00BF5CF5">
        <w:rPr>
          <w:rFonts w:ascii="Times New Roman" w:eastAsia="ＭＳ 明朝" w:hAnsi="ＭＳ 明朝" w:hint="eastAsia"/>
          <w:u w:val="single"/>
        </w:rPr>
        <w:t>the girl helped</w:t>
      </w:r>
      <w:r w:rsidR="00191616" w:rsidRPr="00BF5CF5">
        <w:rPr>
          <w:rFonts w:ascii="Times New Roman" w:eastAsia="ＭＳ 明朝" w:hAnsi="ＭＳ 明朝" w:hint="eastAsia"/>
          <w:u w:val="single"/>
        </w:rPr>
        <w:t xml:space="preserve"> passed the</w:t>
      </w:r>
      <w:r w:rsidR="00191616">
        <w:rPr>
          <w:rFonts w:ascii="Times New Roman" w:eastAsia="ＭＳ 明朝" w:hAnsi="ＭＳ 明朝" w:hint="eastAsia"/>
        </w:rPr>
        <w:t xml:space="preserve"> exam last week.</w:t>
      </w:r>
      <w:r w:rsidR="00191616">
        <w:rPr>
          <w:rFonts w:ascii="Times New Roman" w:eastAsia="ＭＳ 明朝" w:hAnsi="ＭＳ 明朝" w:hint="eastAsia"/>
        </w:rPr>
        <w:t xml:space="preserve">　（目的格関係節</w:t>
      </w:r>
      <w:r w:rsidR="00BE196E">
        <w:rPr>
          <w:rFonts w:ascii="Times New Roman" w:eastAsia="ＭＳ 明朝" w:hAnsi="ＭＳ 明朝" w:hint="eastAsia"/>
        </w:rPr>
        <w:t>：高</w:t>
      </w:r>
      <w:r w:rsidR="00353BDA">
        <w:rPr>
          <w:rFonts w:ascii="Times New Roman" w:eastAsia="ＭＳ 明朝" w:hAnsi="ＭＳ 明朝" w:hint="eastAsia"/>
        </w:rPr>
        <w:t>頻度語</w:t>
      </w:r>
      <w:r w:rsidR="00191616">
        <w:rPr>
          <w:rFonts w:ascii="Times New Roman" w:eastAsia="ＭＳ 明朝" w:hAnsi="ＭＳ 明朝" w:hint="eastAsia"/>
        </w:rPr>
        <w:t>）</w:t>
      </w:r>
    </w:p>
    <w:p w:rsidR="00191616" w:rsidRDefault="00191616" w:rsidP="008B3F59">
      <w:pPr>
        <w:rPr>
          <w:rFonts w:ascii="Times New Roman" w:eastAsia="ＭＳ 明朝" w:hAnsi="ＭＳ 明朝" w:hint="eastAsia"/>
        </w:rPr>
      </w:pPr>
    </w:p>
    <w:p w:rsidR="00191616" w:rsidRDefault="00191616" w:rsidP="008B3F59">
      <w:pPr>
        <w:rPr>
          <w:rFonts w:ascii="Times New Roman" w:eastAsia="ＭＳ 明朝" w:hAnsi="ＭＳ 明朝" w:hint="eastAsia"/>
        </w:rPr>
      </w:pPr>
      <w:r>
        <w:rPr>
          <w:rFonts w:ascii="Times New Roman" w:eastAsia="ＭＳ 明朝" w:hAnsi="ＭＳ 明朝" w:hint="eastAsia"/>
        </w:rPr>
        <w:t xml:space="preserve">　また、この主格・目的格の</w:t>
      </w:r>
      <w:r w:rsidR="00523283">
        <w:rPr>
          <w:rFonts w:ascii="Times New Roman" w:eastAsia="ＭＳ 明朝" w:hAnsi="ＭＳ 明朝" w:hint="eastAsia"/>
        </w:rPr>
        <w:t>処理</w:t>
      </w:r>
      <w:r>
        <w:rPr>
          <w:rFonts w:ascii="Times New Roman" w:eastAsia="ＭＳ 明朝" w:hAnsi="ＭＳ 明朝" w:hint="eastAsia"/>
        </w:rPr>
        <w:t>難度の差がどのように変化するかを観察することで、意味情報の利用やワーキングメモリ容量の個人差など、文理解処理に影響を与える様々な要因についての考察もなされてきた</w:t>
      </w:r>
      <w:r w:rsidR="00BF5CF5">
        <w:rPr>
          <w:rFonts w:ascii="Times New Roman" w:eastAsia="ＭＳ 明朝" w:hAnsi="ＭＳ 明朝" w:hint="eastAsia"/>
        </w:rPr>
        <w:t xml:space="preserve"> </w:t>
      </w:r>
      <w:r w:rsidR="00BF5CF5" w:rsidRPr="00BF5CF5">
        <w:rPr>
          <w:rFonts w:ascii="Times New Roman" w:eastAsia="ＭＳ 明朝" w:hAnsi="Times New Roman"/>
        </w:rPr>
        <w:t>(</w:t>
      </w:r>
      <w:r w:rsidR="00BF5CF5" w:rsidRPr="00BF5CF5">
        <w:rPr>
          <w:rFonts w:ascii="Times New Roman" w:hAnsi="Times New Roman"/>
        </w:rPr>
        <w:t>Traxler, Williams, Blozis, &amp; Morris, 2005</w:t>
      </w:r>
      <w:r w:rsidR="00BF5CF5" w:rsidRPr="00BF5CF5">
        <w:rPr>
          <w:rFonts w:ascii="Times New Roman" w:eastAsia="ＭＳ 明朝" w:hAnsi="Times New Roman"/>
        </w:rPr>
        <w:t>)</w:t>
      </w:r>
      <w:r>
        <w:rPr>
          <w:rFonts w:ascii="Times New Roman" w:eastAsia="ＭＳ 明朝" w:hAnsi="ＭＳ 明朝" w:hint="eastAsia"/>
        </w:rPr>
        <w:t>。</w:t>
      </w:r>
    </w:p>
    <w:p w:rsidR="00191616" w:rsidRDefault="00191616" w:rsidP="008B3F59">
      <w:pPr>
        <w:rPr>
          <w:rFonts w:ascii="Times New Roman" w:eastAsia="ＭＳ 明朝" w:hAnsi="ＭＳ 明朝" w:hint="eastAsia"/>
        </w:rPr>
      </w:pPr>
      <w:r>
        <w:rPr>
          <w:rFonts w:ascii="Times New Roman" w:eastAsia="ＭＳ 明朝" w:hAnsi="ＭＳ 明朝" w:hint="eastAsia"/>
        </w:rPr>
        <w:t xml:space="preserve">　</w:t>
      </w:r>
      <w:r>
        <w:rPr>
          <w:rFonts w:ascii="Times New Roman" w:eastAsia="ＭＳ 明朝" w:hAnsi="ＭＳ 明朝" w:hint="eastAsia"/>
        </w:rPr>
        <w:t>L2</w:t>
      </w:r>
      <w:r>
        <w:rPr>
          <w:rFonts w:ascii="Times New Roman" w:eastAsia="ＭＳ 明朝" w:hAnsi="ＭＳ 明朝" w:hint="eastAsia"/>
        </w:rPr>
        <w:t>においても、主格と</w:t>
      </w:r>
      <w:r w:rsidR="00BF5CF5">
        <w:rPr>
          <w:rFonts w:ascii="Times New Roman" w:eastAsia="ＭＳ 明朝" w:hAnsi="ＭＳ 明朝" w:hint="eastAsia"/>
        </w:rPr>
        <w:t>目的格</w:t>
      </w:r>
      <w:r>
        <w:rPr>
          <w:rFonts w:ascii="Times New Roman" w:eastAsia="ＭＳ 明朝" w:hAnsi="ＭＳ 明朝" w:hint="eastAsia"/>
        </w:rPr>
        <w:t>の</w:t>
      </w:r>
      <w:r w:rsidR="00BF5CF5">
        <w:rPr>
          <w:rFonts w:ascii="Times New Roman" w:eastAsia="ＭＳ 明朝" w:hAnsi="ＭＳ 明朝" w:hint="eastAsia"/>
        </w:rPr>
        <w:t>統語</w:t>
      </w:r>
      <w:r>
        <w:rPr>
          <w:rFonts w:ascii="Times New Roman" w:eastAsia="ＭＳ 明朝" w:hAnsi="ＭＳ 明朝" w:hint="eastAsia"/>
        </w:rPr>
        <w:t>処理</w:t>
      </w:r>
      <w:r w:rsidR="00BF5CF5">
        <w:rPr>
          <w:rFonts w:ascii="Times New Roman" w:eastAsia="ＭＳ 明朝" w:hAnsi="ＭＳ 明朝" w:hint="eastAsia"/>
        </w:rPr>
        <w:t>の</w:t>
      </w:r>
      <w:r>
        <w:rPr>
          <w:rFonts w:ascii="Times New Roman" w:eastAsia="ＭＳ 明朝" w:hAnsi="ＭＳ 明朝" w:hint="eastAsia"/>
        </w:rPr>
        <w:t>難度の違いは報告されている。</w:t>
      </w:r>
      <w:r>
        <w:rPr>
          <w:rFonts w:ascii="Times New Roman" w:eastAsia="ＭＳ 明朝" w:hAnsi="ＭＳ 明朝" w:hint="eastAsia"/>
        </w:rPr>
        <w:t>Hashimoto (2010)</w:t>
      </w:r>
      <w:r>
        <w:rPr>
          <w:rFonts w:ascii="Times New Roman" w:eastAsia="ＭＳ 明朝" w:hAnsi="ＭＳ 明朝" w:hint="eastAsia"/>
        </w:rPr>
        <w:t>では、オーストラリアの大学に学位取得を目的として留学している</w:t>
      </w:r>
      <w:r w:rsidR="00445842">
        <w:rPr>
          <w:rFonts w:ascii="Times New Roman" w:eastAsia="ＭＳ 明朝" w:hAnsi="ＭＳ 明朝" w:hint="eastAsia"/>
        </w:rPr>
        <w:t>日本人・</w:t>
      </w:r>
      <w:r>
        <w:rPr>
          <w:rFonts w:ascii="Times New Roman" w:eastAsia="ＭＳ 明朝" w:hAnsi="ＭＳ 明朝" w:hint="eastAsia"/>
        </w:rPr>
        <w:t>中国人</w:t>
      </w:r>
      <w:r w:rsidR="00445842">
        <w:rPr>
          <w:rFonts w:ascii="Times New Roman" w:eastAsia="ＭＳ 明朝" w:hAnsi="ＭＳ 明朝" w:hint="eastAsia"/>
        </w:rPr>
        <w:t>・</w:t>
      </w:r>
      <w:r>
        <w:rPr>
          <w:rFonts w:ascii="Times New Roman" w:eastAsia="ＭＳ 明朝" w:hAnsi="ＭＳ 明朝" w:hint="eastAsia"/>
        </w:rPr>
        <w:t>ベトナム人学生</w:t>
      </w:r>
      <w:r w:rsidR="00445842">
        <w:rPr>
          <w:rFonts w:ascii="Times New Roman" w:eastAsia="ＭＳ 明朝" w:hAnsi="ＭＳ 明朝" w:hint="eastAsia"/>
        </w:rPr>
        <w:t>と英語を母語とする学生</w:t>
      </w:r>
      <w:r>
        <w:rPr>
          <w:rFonts w:ascii="Times New Roman" w:eastAsia="ＭＳ 明朝" w:hAnsi="ＭＳ 明朝" w:hint="eastAsia"/>
        </w:rPr>
        <w:t>を対象に、上記</w:t>
      </w:r>
      <w:r>
        <w:rPr>
          <w:rFonts w:ascii="Times New Roman" w:eastAsia="ＭＳ 明朝" w:hAnsi="ＭＳ 明朝" w:hint="eastAsia"/>
        </w:rPr>
        <w:t>(1a, b)</w:t>
      </w:r>
      <w:r>
        <w:rPr>
          <w:rFonts w:ascii="Times New Roman" w:eastAsia="ＭＳ 明朝" w:hAnsi="ＭＳ 明朝" w:hint="eastAsia"/>
        </w:rPr>
        <w:t>のように関係節を含む文を刺激とした読解実験を行った。</w:t>
      </w:r>
      <w:r w:rsidR="00445842">
        <w:rPr>
          <w:rFonts w:ascii="Times New Roman" w:eastAsia="ＭＳ 明朝" w:hAnsi="ＭＳ 明朝" w:hint="eastAsia"/>
        </w:rPr>
        <w:t>その結果、</w:t>
      </w:r>
      <w:r w:rsidR="00445842">
        <w:rPr>
          <w:rFonts w:ascii="Times New Roman" w:eastAsia="ＭＳ 明朝" w:hAnsi="ＭＳ 明朝" w:hint="eastAsia"/>
        </w:rPr>
        <w:t>4</w:t>
      </w:r>
      <w:r w:rsidR="00445842">
        <w:rPr>
          <w:rFonts w:ascii="Times New Roman" w:eastAsia="ＭＳ 明朝" w:hAnsi="ＭＳ 明朝" w:hint="eastAsia"/>
        </w:rPr>
        <w:t>グループすべての学生にとって、目的格関係節文のほうが主格関係節文よりも処理が困難であった。また同研究では、非自動的な</w:t>
      </w:r>
      <w:r w:rsidR="00445842">
        <w:rPr>
          <w:rFonts w:ascii="Times New Roman" w:eastAsia="ＭＳ 明朝" w:hAnsi="ＭＳ 明朝" w:hint="eastAsia"/>
        </w:rPr>
        <w:t>L2</w:t>
      </w:r>
      <w:r w:rsidR="00445842">
        <w:rPr>
          <w:rFonts w:ascii="Times New Roman" w:eastAsia="ＭＳ 明朝" w:hAnsi="ＭＳ 明朝" w:hint="eastAsia"/>
        </w:rPr>
        <w:t>語彙処理が統語処理に及ぼす影響を考察するため、</w:t>
      </w:r>
      <w:r w:rsidR="00445842">
        <w:rPr>
          <w:rFonts w:ascii="Times New Roman" w:eastAsia="ＭＳ 明朝" w:hAnsi="ＭＳ 明朝" w:hint="eastAsia"/>
        </w:rPr>
        <w:t>(1a,b)</w:t>
      </w:r>
      <w:r w:rsidR="00445842">
        <w:rPr>
          <w:rFonts w:ascii="Times New Roman" w:eastAsia="ＭＳ 明朝" w:hAnsi="ＭＳ 明朝" w:hint="eastAsia"/>
        </w:rPr>
        <w:t>のように、内容語が高頻度語（＝処理負荷が比較的低い）で構成されている文と、下記</w:t>
      </w:r>
      <w:r w:rsidR="00445842">
        <w:rPr>
          <w:rFonts w:ascii="Times New Roman" w:eastAsia="ＭＳ 明朝" w:hAnsi="ＭＳ 明朝" w:hint="eastAsia"/>
        </w:rPr>
        <w:t>(2a,b)</w:t>
      </w:r>
      <w:r w:rsidR="00445842">
        <w:rPr>
          <w:rFonts w:ascii="Times New Roman" w:eastAsia="ＭＳ 明朝" w:hAnsi="ＭＳ 明朝" w:hint="eastAsia"/>
        </w:rPr>
        <w:t>のように、内容語が低頻度語（＝処理負荷が比較的高い）で構成されている文の読解処理を比較した。その結果、英語母語話者は、内容語の頻度にかかわらず主格と目的格の難度の差が明らかであったのに対して、</w:t>
      </w:r>
      <w:r w:rsidR="00445842">
        <w:rPr>
          <w:rFonts w:ascii="Times New Roman" w:eastAsia="ＭＳ 明朝" w:hAnsi="ＭＳ 明朝" w:hint="eastAsia"/>
        </w:rPr>
        <w:t>L2</w:t>
      </w:r>
      <w:r w:rsidR="00445842">
        <w:rPr>
          <w:rFonts w:ascii="Times New Roman" w:eastAsia="ＭＳ 明朝" w:hAnsi="ＭＳ 明朝" w:hint="eastAsia"/>
        </w:rPr>
        <w:t>学習者は</w:t>
      </w:r>
      <w:r w:rsidR="00445842">
        <w:rPr>
          <w:rFonts w:ascii="Times New Roman" w:eastAsia="ＭＳ 明朝" w:hAnsi="ＭＳ 明朝" w:hint="eastAsia"/>
        </w:rPr>
        <w:t>3</w:t>
      </w:r>
      <w:r w:rsidR="00445842">
        <w:rPr>
          <w:rFonts w:ascii="Times New Roman" w:eastAsia="ＭＳ 明朝" w:hAnsi="ＭＳ 明朝" w:hint="eastAsia"/>
        </w:rPr>
        <w:t>グループとも、低頻度語文で主格と目的格の関係節の差が</w:t>
      </w:r>
      <w:r w:rsidR="00BF5CF5">
        <w:rPr>
          <w:rFonts w:ascii="Times New Roman" w:eastAsia="ＭＳ 明朝" w:hAnsi="ＭＳ 明朝" w:hint="eastAsia"/>
        </w:rPr>
        <w:t>小さく</w:t>
      </w:r>
      <w:r w:rsidR="00445842">
        <w:rPr>
          <w:rFonts w:ascii="Times New Roman" w:eastAsia="ＭＳ 明朝" w:hAnsi="ＭＳ 明朝" w:hint="eastAsia"/>
        </w:rPr>
        <w:t>なることが明らかになった。</w:t>
      </w:r>
      <w:r w:rsidR="00353BDA">
        <w:rPr>
          <w:rFonts w:ascii="Times New Roman" w:eastAsia="ＭＳ 明朝" w:hAnsi="ＭＳ 明朝" w:hint="eastAsia"/>
        </w:rPr>
        <w:t>これは、語彙処理にかかる負荷が高くなることで、統語処理に残された処理容量が少なくなり、適切な統語処理が行われなかったため、と考えられる。</w:t>
      </w:r>
    </w:p>
    <w:p w:rsidR="00353BDA" w:rsidRDefault="00353BDA" w:rsidP="008B3F59">
      <w:pPr>
        <w:rPr>
          <w:rFonts w:ascii="Times New Roman" w:eastAsia="ＭＳ 明朝" w:hAnsi="ＭＳ 明朝" w:hint="eastAsia"/>
        </w:rPr>
      </w:pPr>
    </w:p>
    <w:p w:rsidR="00353BDA" w:rsidRDefault="00353BDA" w:rsidP="008B3F59">
      <w:pPr>
        <w:rPr>
          <w:rFonts w:ascii="Times New Roman" w:eastAsia="ＭＳ 明朝" w:hAnsi="ＭＳ 明朝" w:hint="eastAsia"/>
        </w:rPr>
      </w:pPr>
      <w:r>
        <w:rPr>
          <w:rFonts w:ascii="Times New Roman" w:eastAsia="ＭＳ 明朝" w:hAnsi="ＭＳ 明朝" w:hint="eastAsia"/>
        </w:rPr>
        <w:t xml:space="preserve">(2a) The defendant who </w:t>
      </w:r>
      <w:r w:rsidRPr="00BF5CF5">
        <w:rPr>
          <w:rFonts w:ascii="Times New Roman" w:eastAsia="ＭＳ 明朝" w:hAnsi="ＭＳ 明朝" w:hint="eastAsia"/>
          <w:u w:val="single"/>
        </w:rPr>
        <w:t>insulted the journalist confessed the</w:t>
      </w:r>
      <w:r>
        <w:rPr>
          <w:rFonts w:ascii="Times New Roman" w:eastAsia="ＭＳ 明朝" w:hAnsi="ＭＳ 明朝" w:hint="eastAsia"/>
        </w:rPr>
        <w:t xml:space="preserve"> sin at last.</w:t>
      </w:r>
      <w:r>
        <w:rPr>
          <w:rFonts w:ascii="Times New Roman" w:eastAsia="ＭＳ 明朝" w:hAnsi="ＭＳ 明朝" w:hint="eastAsia"/>
        </w:rPr>
        <w:t xml:space="preserve">　（主格</w:t>
      </w:r>
      <w:r w:rsidR="00BE196E">
        <w:rPr>
          <w:rFonts w:ascii="Times New Roman" w:eastAsia="ＭＳ 明朝" w:hAnsi="ＭＳ 明朝" w:hint="eastAsia"/>
        </w:rPr>
        <w:t>関係節：低</w:t>
      </w:r>
      <w:r>
        <w:rPr>
          <w:rFonts w:ascii="Times New Roman" w:eastAsia="ＭＳ 明朝" w:hAnsi="ＭＳ 明朝" w:hint="eastAsia"/>
        </w:rPr>
        <w:t>頻度語）</w:t>
      </w:r>
    </w:p>
    <w:p w:rsidR="00353BDA" w:rsidRPr="00445842" w:rsidRDefault="00353BDA" w:rsidP="008B3F59">
      <w:pPr>
        <w:rPr>
          <w:rFonts w:ascii="Times New Roman" w:eastAsia="ＭＳ 明朝" w:hAnsi="ＭＳ 明朝"/>
        </w:rPr>
      </w:pPr>
      <w:r>
        <w:rPr>
          <w:rFonts w:ascii="Times New Roman" w:eastAsia="ＭＳ 明朝" w:hAnsi="ＭＳ 明朝" w:hint="eastAsia"/>
        </w:rPr>
        <w:t xml:space="preserve">(2b) The defendant who </w:t>
      </w:r>
      <w:r w:rsidRPr="00BF5CF5">
        <w:rPr>
          <w:rFonts w:ascii="Times New Roman" w:eastAsia="ＭＳ 明朝" w:hAnsi="ＭＳ 明朝" w:hint="eastAsia"/>
          <w:u w:val="single"/>
        </w:rPr>
        <w:t>the journalist insulted confessed the</w:t>
      </w:r>
      <w:r>
        <w:rPr>
          <w:rFonts w:ascii="Times New Roman" w:eastAsia="ＭＳ 明朝" w:hAnsi="ＭＳ 明朝" w:hint="eastAsia"/>
        </w:rPr>
        <w:t xml:space="preserve"> sin at last.</w:t>
      </w:r>
      <w:r>
        <w:rPr>
          <w:rFonts w:ascii="Times New Roman" w:eastAsia="ＭＳ 明朝" w:hAnsi="ＭＳ 明朝" w:hint="eastAsia"/>
        </w:rPr>
        <w:t xml:space="preserve">　（目的格関係節：低頻度語）</w:t>
      </w:r>
    </w:p>
    <w:p w:rsidR="008D2D9E" w:rsidRDefault="008D2D9E">
      <w:pPr>
        <w:rPr>
          <w:rFonts w:ascii="Times New Roman" w:eastAsia="ＭＳ 明朝" w:hAnsi="Times New Roman" w:hint="eastAsia"/>
        </w:rPr>
      </w:pPr>
    </w:p>
    <w:p w:rsidR="00353BDA" w:rsidRDefault="00353BDA">
      <w:pPr>
        <w:rPr>
          <w:rFonts w:ascii="Times New Roman" w:eastAsia="ＭＳ 明朝" w:hAnsi="Times New Roman" w:hint="eastAsia"/>
        </w:rPr>
      </w:pPr>
      <w:r>
        <w:rPr>
          <w:rFonts w:ascii="Times New Roman" w:eastAsia="ＭＳ 明朝" w:hAnsi="Times New Roman" w:hint="eastAsia"/>
        </w:rPr>
        <w:t xml:space="preserve">　上記、</w:t>
      </w:r>
      <w:r>
        <w:rPr>
          <w:rFonts w:ascii="Times New Roman" w:eastAsia="ＭＳ 明朝" w:hAnsi="Times New Roman" w:hint="eastAsia"/>
        </w:rPr>
        <w:t>Hashimoto (2010)</w:t>
      </w:r>
      <w:r>
        <w:rPr>
          <w:rFonts w:ascii="Times New Roman" w:eastAsia="ＭＳ 明朝" w:hAnsi="Times New Roman" w:hint="eastAsia"/>
        </w:rPr>
        <w:t>の結果は、</w:t>
      </w:r>
      <w:r>
        <w:rPr>
          <w:rFonts w:ascii="Times New Roman" w:eastAsia="ＭＳ 明朝" w:hAnsi="Times New Roman" w:hint="eastAsia"/>
        </w:rPr>
        <w:t>L2</w:t>
      </w:r>
      <w:r>
        <w:rPr>
          <w:rFonts w:ascii="Times New Roman" w:eastAsia="ＭＳ 明朝" w:hAnsi="Times New Roman" w:hint="eastAsia"/>
        </w:rPr>
        <w:t>の関係節処理</w:t>
      </w:r>
      <w:r w:rsidR="00BF5CF5">
        <w:rPr>
          <w:rFonts w:ascii="Times New Roman" w:eastAsia="ＭＳ 明朝" w:hAnsi="Times New Roman" w:hint="eastAsia"/>
        </w:rPr>
        <w:t>に対して、非自動的な語彙処理という</w:t>
      </w:r>
      <w:r>
        <w:rPr>
          <w:rFonts w:ascii="Times New Roman" w:eastAsia="ＭＳ 明朝" w:hAnsi="Times New Roman" w:hint="eastAsia"/>
        </w:rPr>
        <w:t>L2</w:t>
      </w:r>
      <w:r>
        <w:rPr>
          <w:rFonts w:ascii="Times New Roman" w:eastAsia="ＭＳ 明朝" w:hAnsi="Times New Roman" w:hint="eastAsia"/>
        </w:rPr>
        <w:t>に特有の要因が影響を及ぼしていることを示している。この他に、</w:t>
      </w:r>
      <w:r>
        <w:rPr>
          <w:rFonts w:ascii="Times New Roman" w:eastAsia="ＭＳ 明朝" w:hAnsi="Times New Roman" w:hint="eastAsia"/>
        </w:rPr>
        <w:t>L2</w:t>
      </w:r>
      <w:r>
        <w:rPr>
          <w:rFonts w:ascii="Times New Roman" w:eastAsia="ＭＳ 明朝" w:hAnsi="Times New Roman" w:hint="eastAsia"/>
        </w:rPr>
        <w:t>言語処理</w:t>
      </w:r>
      <w:r w:rsidR="00BF5CF5">
        <w:rPr>
          <w:rFonts w:ascii="Times New Roman" w:eastAsia="ＭＳ 明朝" w:hAnsi="Times New Roman" w:hint="eastAsia"/>
        </w:rPr>
        <w:t>と関係があるであろう</w:t>
      </w:r>
      <w:r>
        <w:rPr>
          <w:rFonts w:ascii="Times New Roman" w:eastAsia="ＭＳ 明朝" w:hAnsi="Times New Roman" w:hint="eastAsia"/>
        </w:rPr>
        <w:t>L2</w:t>
      </w:r>
      <w:r>
        <w:rPr>
          <w:rFonts w:ascii="Times New Roman" w:eastAsia="ＭＳ 明朝" w:hAnsi="Times New Roman" w:hint="eastAsia"/>
        </w:rPr>
        <w:t>特有の要因として、目標言語の熟達度が挙げられる。</w:t>
      </w:r>
      <w:r w:rsidR="00831141">
        <w:rPr>
          <w:rFonts w:ascii="Times New Roman" w:eastAsia="ＭＳ 明朝" w:hAnsi="Times New Roman" w:hint="eastAsia"/>
        </w:rPr>
        <w:t>熟達度の違う学習者は、それぞれ関係節を含む</w:t>
      </w:r>
      <w:r w:rsidR="00831141">
        <w:rPr>
          <w:rFonts w:ascii="Times New Roman" w:eastAsia="ＭＳ 明朝" w:hAnsi="Times New Roman" w:hint="eastAsia"/>
        </w:rPr>
        <w:t>L2</w:t>
      </w:r>
      <w:r w:rsidR="00831141">
        <w:rPr>
          <w:rFonts w:ascii="Times New Roman" w:eastAsia="ＭＳ 明朝" w:hAnsi="Times New Roman" w:hint="eastAsia"/>
        </w:rPr>
        <w:t>の文をどのように理解するのだろうか。この研究課題に答えるために、熟達度が異なる</w:t>
      </w:r>
      <w:r w:rsidR="00831141">
        <w:rPr>
          <w:rFonts w:ascii="Times New Roman" w:eastAsia="ＭＳ 明朝" w:hAnsi="Times New Roman" w:hint="eastAsia"/>
        </w:rPr>
        <w:t>2</w:t>
      </w:r>
      <w:r w:rsidR="00831141">
        <w:rPr>
          <w:rFonts w:ascii="Times New Roman" w:eastAsia="ＭＳ 明朝" w:hAnsi="Times New Roman" w:hint="eastAsia"/>
        </w:rPr>
        <w:t>組の日本人英語学習者を対象に、上記</w:t>
      </w:r>
      <w:r w:rsidR="00831141">
        <w:rPr>
          <w:rFonts w:ascii="Times New Roman" w:eastAsia="ＭＳ 明朝" w:hAnsi="Times New Roman" w:hint="eastAsia"/>
        </w:rPr>
        <w:t>(1, 2)</w:t>
      </w:r>
      <w:r w:rsidR="00831141">
        <w:rPr>
          <w:rFonts w:ascii="Times New Roman" w:eastAsia="ＭＳ 明朝" w:hAnsi="Times New Roman" w:hint="eastAsia"/>
        </w:rPr>
        <w:t>のように関係節を含む英文を刺激とする読解実験を行った。</w:t>
      </w:r>
    </w:p>
    <w:p w:rsidR="00353BDA" w:rsidRPr="00191616" w:rsidRDefault="00831141">
      <w:pPr>
        <w:rPr>
          <w:rFonts w:ascii="Times New Roman" w:eastAsia="ＭＳ 明朝" w:hAnsi="Times New Roman"/>
        </w:rPr>
      </w:pPr>
      <w:r>
        <w:rPr>
          <w:rFonts w:ascii="Times New Roman" w:eastAsia="ＭＳ 明朝" w:hAnsi="ＭＳ 明朝" w:hint="eastAsia"/>
          <w:b/>
        </w:rPr>
        <w:lastRenderedPageBreak/>
        <w:t>３</w:t>
      </w:r>
      <w:r w:rsidRPr="00AA7F23">
        <w:rPr>
          <w:rFonts w:ascii="Times New Roman" w:eastAsia="ＭＳ 明朝" w:hAnsi="ＭＳ 明朝"/>
          <w:b/>
        </w:rPr>
        <w:t>．</w:t>
      </w:r>
      <w:r>
        <w:rPr>
          <w:rFonts w:ascii="Times New Roman" w:eastAsia="ＭＳ 明朝" w:hAnsi="ＭＳ 明朝" w:hint="eastAsia"/>
          <w:b/>
        </w:rPr>
        <w:t>実　験</w:t>
      </w:r>
    </w:p>
    <w:p w:rsidR="00831141" w:rsidRDefault="00831141">
      <w:pPr>
        <w:rPr>
          <w:rFonts w:ascii="Times New Roman" w:eastAsia="ＭＳ 明朝" w:hAnsi="Times New Roman" w:hint="eastAsia"/>
        </w:rPr>
      </w:pPr>
      <w:r>
        <w:rPr>
          <w:rFonts w:ascii="Times New Roman" w:eastAsia="ＭＳ 明朝" w:hAnsi="Times New Roman" w:hint="eastAsia"/>
        </w:rPr>
        <w:t xml:space="preserve">(1) </w:t>
      </w:r>
      <w:r>
        <w:rPr>
          <w:rFonts w:ascii="Times New Roman" w:eastAsia="ＭＳ 明朝" w:hAnsi="Times New Roman" w:hint="eastAsia"/>
        </w:rPr>
        <w:t>実験協力者　実験に参加したのは、オーストラリアの大学に学位取得の目的で留学中の日本人大学生</w:t>
      </w:r>
      <w:r>
        <w:rPr>
          <w:rFonts w:ascii="Times New Roman" w:eastAsia="ＭＳ 明朝" w:hAnsi="Times New Roman" w:hint="eastAsia"/>
        </w:rPr>
        <w:t>24</w:t>
      </w:r>
      <w:r>
        <w:rPr>
          <w:rFonts w:ascii="Times New Roman" w:eastAsia="ＭＳ 明朝" w:hAnsi="Times New Roman" w:hint="eastAsia"/>
        </w:rPr>
        <w:t>名（上位群：全員が</w:t>
      </w:r>
      <w:r>
        <w:rPr>
          <w:rFonts w:ascii="Times New Roman" w:eastAsia="ＭＳ 明朝" w:hAnsi="Times New Roman" w:hint="eastAsia"/>
        </w:rPr>
        <w:t>IELTS overall 6.5</w:t>
      </w:r>
      <w:r>
        <w:rPr>
          <w:rFonts w:ascii="Times New Roman" w:eastAsia="ＭＳ 明朝" w:hAnsi="Times New Roman" w:hint="eastAsia"/>
        </w:rPr>
        <w:t>以上かそれと同等のテストスコアを取得）、</w:t>
      </w:r>
    </w:p>
    <w:p w:rsidR="00831141" w:rsidRPr="00831141" w:rsidRDefault="00831141">
      <w:pPr>
        <w:rPr>
          <w:rFonts w:ascii="Times New Roman" w:eastAsia="ＭＳ 明朝" w:hAnsi="Times New Roman" w:hint="eastAsia"/>
        </w:rPr>
      </w:pPr>
      <w:r>
        <w:rPr>
          <w:rFonts w:ascii="Times New Roman" w:eastAsia="ＭＳ 明朝" w:hAnsi="Times New Roman" w:hint="eastAsia"/>
        </w:rPr>
        <w:t>日本の大学に通う日本人大学生</w:t>
      </w:r>
      <w:r>
        <w:rPr>
          <w:rFonts w:ascii="Times New Roman" w:eastAsia="ＭＳ 明朝" w:hAnsi="Times New Roman" w:hint="eastAsia"/>
        </w:rPr>
        <w:t>24</w:t>
      </w:r>
      <w:r>
        <w:rPr>
          <w:rFonts w:ascii="Times New Roman" w:eastAsia="ＭＳ 明朝" w:hAnsi="Times New Roman" w:hint="eastAsia"/>
        </w:rPr>
        <w:t>名（下位群：</w:t>
      </w:r>
      <w:r w:rsidR="00BE1DE7">
        <w:rPr>
          <w:rFonts w:ascii="Times New Roman" w:eastAsia="ＭＳ 明朝" w:hAnsi="Times New Roman" w:hint="eastAsia"/>
        </w:rPr>
        <w:t>内</w:t>
      </w:r>
      <w:r w:rsidR="00BE1DE7">
        <w:rPr>
          <w:rFonts w:ascii="Times New Roman" w:eastAsia="ＭＳ 明朝" w:hAnsi="Times New Roman" w:hint="eastAsia"/>
        </w:rPr>
        <w:t>19</w:t>
      </w:r>
      <w:r w:rsidR="00BE1DE7">
        <w:rPr>
          <w:rFonts w:ascii="Times New Roman" w:eastAsia="ＭＳ 明朝" w:hAnsi="Times New Roman" w:hint="eastAsia"/>
        </w:rPr>
        <w:t>名の</w:t>
      </w:r>
      <w:r w:rsidR="00BE1DE7">
        <w:rPr>
          <w:rFonts w:ascii="Times New Roman" w:eastAsia="ＭＳ 明朝" w:hAnsi="Times New Roman" w:hint="eastAsia"/>
        </w:rPr>
        <w:t>TOEIC</w:t>
      </w:r>
      <w:r w:rsidR="00BE1DE7">
        <w:rPr>
          <w:rFonts w:ascii="Times New Roman" w:eastAsia="ＭＳ 明朝" w:hAnsi="Times New Roman" w:hint="eastAsia"/>
        </w:rPr>
        <w:t>平均スコア</w:t>
      </w:r>
      <w:r w:rsidR="00BE1DE7">
        <w:rPr>
          <w:rFonts w:ascii="Times New Roman" w:eastAsia="ＭＳ 明朝" w:hAnsi="Times New Roman" w:hint="eastAsia"/>
        </w:rPr>
        <w:t>437.78</w:t>
      </w:r>
      <w:r w:rsidR="00BE1DE7">
        <w:rPr>
          <w:rFonts w:ascii="Times New Roman" w:eastAsia="ＭＳ 明朝" w:hAnsi="Times New Roman" w:hint="eastAsia"/>
        </w:rPr>
        <w:t>、他</w:t>
      </w:r>
      <w:r w:rsidR="00BE1DE7">
        <w:rPr>
          <w:rFonts w:ascii="Times New Roman" w:eastAsia="ＭＳ 明朝" w:hAnsi="Times New Roman" w:hint="eastAsia"/>
        </w:rPr>
        <w:t>5</w:t>
      </w:r>
      <w:r w:rsidR="00BE1DE7">
        <w:rPr>
          <w:rFonts w:ascii="Times New Roman" w:eastAsia="ＭＳ 明朝" w:hAnsi="Times New Roman" w:hint="eastAsia"/>
        </w:rPr>
        <w:t>名中</w:t>
      </w:r>
      <w:r w:rsidR="00BE1DE7">
        <w:rPr>
          <w:rFonts w:ascii="Times New Roman" w:eastAsia="ＭＳ 明朝" w:hAnsi="Times New Roman" w:hint="eastAsia"/>
        </w:rPr>
        <w:t>3</w:t>
      </w:r>
      <w:r w:rsidR="00BE1DE7">
        <w:rPr>
          <w:rFonts w:ascii="Times New Roman" w:eastAsia="ＭＳ 明朝" w:hAnsi="Times New Roman" w:hint="eastAsia"/>
        </w:rPr>
        <w:t>名が英検</w:t>
      </w:r>
      <w:r w:rsidR="00BE1DE7">
        <w:rPr>
          <w:rFonts w:ascii="Times New Roman" w:eastAsia="ＭＳ 明朝" w:hAnsi="Times New Roman" w:hint="eastAsia"/>
        </w:rPr>
        <w:t>2</w:t>
      </w:r>
      <w:r w:rsidR="00BE1DE7">
        <w:rPr>
          <w:rFonts w:ascii="Times New Roman" w:eastAsia="ＭＳ 明朝" w:hAnsi="Times New Roman" w:hint="eastAsia"/>
        </w:rPr>
        <w:t>級、</w:t>
      </w:r>
      <w:r w:rsidR="00BE1DE7">
        <w:rPr>
          <w:rFonts w:ascii="Times New Roman" w:eastAsia="ＭＳ 明朝" w:hAnsi="Times New Roman" w:hint="eastAsia"/>
        </w:rPr>
        <w:t>1</w:t>
      </w:r>
      <w:r w:rsidR="00BE1DE7">
        <w:rPr>
          <w:rFonts w:ascii="Times New Roman" w:eastAsia="ＭＳ 明朝" w:hAnsi="Times New Roman" w:hint="eastAsia"/>
        </w:rPr>
        <w:t>名が英検準</w:t>
      </w:r>
      <w:r w:rsidR="00BE1DE7">
        <w:rPr>
          <w:rFonts w:ascii="Times New Roman" w:eastAsia="ＭＳ 明朝" w:hAnsi="Times New Roman" w:hint="eastAsia"/>
        </w:rPr>
        <w:t>2</w:t>
      </w:r>
      <w:r w:rsidR="00BE1DE7">
        <w:rPr>
          <w:rFonts w:ascii="Times New Roman" w:eastAsia="ＭＳ 明朝" w:hAnsi="Times New Roman" w:hint="eastAsia"/>
        </w:rPr>
        <w:t>級、</w:t>
      </w:r>
      <w:r w:rsidR="00BE1DE7">
        <w:rPr>
          <w:rFonts w:ascii="Times New Roman" w:eastAsia="ＭＳ 明朝" w:hAnsi="Times New Roman" w:hint="eastAsia"/>
        </w:rPr>
        <w:t>1</w:t>
      </w:r>
      <w:r w:rsidR="00BE1DE7">
        <w:rPr>
          <w:rFonts w:ascii="Times New Roman" w:eastAsia="ＭＳ 明朝" w:hAnsi="Times New Roman" w:hint="eastAsia"/>
        </w:rPr>
        <w:t>名が英検</w:t>
      </w:r>
      <w:r w:rsidR="00BE1DE7">
        <w:rPr>
          <w:rFonts w:ascii="Times New Roman" w:eastAsia="ＭＳ 明朝" w:hAnsi="Times New Roman" w:hint="eastAsia"/>
        </w:rPr>
        <w:t>3</w:t>
      </w:r>
      <w:r w:rsidR="00BE1DE7">
        <w:rPr>
          <w:rFonts w:ascii="Times New Roman" w:eastAsia="ＭＳ 明朝" w:hAnsi="Times New Roman" w:hint="eastAsia"/>
        </w:rPr>
        <w:t>級取得）、そして英語を</w:t>
      </w:r>
      <w:r w:rsidR="00676AA3">
        <w:rPr>
          <w:rFonts w:ascii="Times New Roman" w:eastAsia="ＭＳ 明朝" w:hAnsi="Times New Roman" w:hint="eastAsia"/>
        </w:rPr>
        <w:t>L1</w:t>
      </w:r>
      <w:r w:rsidR="00BE1DE7">
        <w:rPr>
          <w:rFonts w:ascii="Times New Roman" w:eastAsia="ＭＳ 明朝" w:hAnsi="Times New Roman" w:hint="eastAsia"/>
        </w:rPr>
        <w:t>とする大学生</w:t>
      </w:r>
      <w:r w:rsidR="00BE1DE7">
        <w:rPr>
          <w:rFonts w:ascii="Times New Roman" w:eastAsia="ＭＳ 明朝" w:hAnsi="Times New Roman" w:hint="eastAsia"/>
        </w:rPr>
        <w:t>24</w:t>
      </w:r>
      <w:r w:rsidR="00BE1DE7">
        <w:rPr>
          <w:rFonts w:ascii="Times New Roman" w:eastAsia="ＭＳ 明朝" w:hAnsi="Times New Roman" w:hint="eastAsia"/>
        </w:rPr>
        <w:t>名（統制群：上位群と同じオーストラリアの大学の学生）であった。</w:t>
      </w:r>
    </w:p>
    <w:p w:rsidR="008D2D9E" w:rsidRDefault="008D2D9E">
      <w:pPr>
        <w:rPr>
          <w:rFonts w:ascii="Times New Roman" w:eastAsia="ＭＳ 明朝" w:hAnsi="ＭＳ 明朝" w:hint="eastAsia"/>
        </w:rPr>
      </w:pPr>
      <w:r w:rsidRPr="00AA7F23">
        <w:rPr>
          <w:rFonts w:ascii="Times New Roman" w:eastAsia="ＭＳ 明朝" w:hAnsi="Times New Roman"/>
        </w:rPr>
        <w:t xml:space="preserve">(2) </w:t>
      </w:r>
      <w:r w:rsidR="00BE1DE7">
        <w:rPr>
          <w:rFonts w:ascii="Times New Roman" w:eastAsia="ＭＳ 明朝" w:hAnsi="ＭＳ 明朝" w:hint="eastAsia"/>
        </w:rPr>
        <w:t xml:space="preserve">実験刺激　</w:t>
      </w:r>
      <w:r w:rsidR="00975DC6">
        <w:rPr>
          <w:rFonts w:ascii="Times New Roman" w:eastAsia="ＭＳ 明朝" w:hAnsi="ＭＳ 明朝" w:hint="eastAsia"/>
        </w:rPr>
        <w:t>主格</w:t>
      </w:r>
      <w:r w:rsidR="00975DC6">
        <w:rPr>
          <w:rFonts w:ascii="Times New Roman" w:eastAsia="ＭＳ 明朝" w:hAnsi="ＭＳ 明朝" w:hint="eastAsia"/>
        </w:rPr>
        <w:t>(1a, 2a)</w:t>
      </w:r>
      <w:r w:rsidR="00975DC6">
        <w:rPr>
          <w:rFonts w:ascii="Times New Roman" w:eastAsia="ＭＳ 明朝" w:hAnsi="ＭＳ 明朝" w:hint="eastAsia"/>
        </w:rPr>
        <w:t>・目的格</w:t>
      </w:r>
      <w:r w:rsidR="00975DC6">
        <w:rPr>
          <w:rFonts w:ascii="Times New Roman" w:eastAsia="ＭＳ 明朝" w:hAnsi="ＭＳ 明朝" w:hint="eastAsia"/>
        </w:rPr>
        <w:t>(1b, 2b)</w:t>
      </w:r>
      <w:r w:rsidR="00975DC6">
        <w:rPr>
          <w:rFonts w:ascii="Times New Roman" w:eastAsia="ＭＳ 明朝" w:hAnsi="ＭＳ 明朝" w:hint="eastAsia"/>
        </w:rPr>
        <w:t>・縮約関係節（本研究では分析対象外）の</w:t>
      </w:r>
      <w:r w:rsidR="00975DC6">
        <w:rPr>
          <w:rFonts w:ascii="Times New Roman" w:eastAsia="ＭＳ 明朝" w:hAnsi="ＭＳ 明朝" w:hint="eastAsia"/>
        </w:rPr>
        <w:t>3</w:t>
      </w:r>
      <w:r w:rsidR="00975DC6">
        <w:rPr>
          <w:rFonts w:ascii="Times New Roman" w:eastAsia="ＭＳ 明朝" w:hAnsi="ＭＳ 明朝" w:hint="eastAsia"/>
        </w:rPr>
        <w:t>タイプを</w:t>
      </w:r>
      <w:r w:rsidR="00975DC6">
        <w:rPr>
          <w:rFonts w:ascii="Times New Roman" w:eastAsia="ＭＳ 明朝" w:hAnsi="ＭＳ 明朝" w:hint="eastAsia"/>
        </w:rPr>
        <w:t>1</w:t>
      </w:r>
      <w:r w:rsidR="00975DC6">
        <w:rPr>
          <w:rFonts w:ascii="Times New Roman" w:eastAsia="ＭＳ 明朝" w:hAnsi="ＭＳ 明朝" w:hint="eastAsia"/>
        </w:rPr>
        <w:t>セットとして、高頻度語を含む文を</w:t>
      </w:r>
      <w:r w:rsidR="00975DC6">
        <w:rPr>
          <w:rFonts w:ascii="Times New Roman" w:eastAsia="ＭＳ 明朝" w:hAnsi="ＭＳ 明朝" w:hint="eastAsia"/>
        </w:rPr>
        <w:t>12</w:t>
      </w:r>
      <w:r w:rsidR="00975DC6">
        <w:rPr>
          <w:rFonts w:ascii="Times New Roman" w:eastAsia="ＭＳ 明朝" w:hAnsi="ＭＳ 明朝" w:hint="eastAsia"/>
        </w:rPr>
        <w:t>セット</w:t>
      </w:r>
      <w:r w:rsidR="00975DC6">
        <w:rPr>
          <w:rFonts w:ascii="Times New Roman" w:eastAsia="ＭＳ 明朝" w:hAnsi="ＭＳ 明朝" w:hint="eastAsia"/>
        </w:rPr>
        <w:t>(1a, b)</w:t>
      </w:r>
      <w:r w:rsidR="00975DC6">
        <w:rPr>
          <w:rFonts w:ascii="Times New Roman" w:eastAsia="ＭＳ 明朝" w:hAnsi="ＭＳ 明朝" w:hint="eastAsia"/>
        </w:rPr>
        <w:t>、低頻度語を含む文を</w:t>
      </w:r>
      <w:r w:rsidR="00975DC6">
        <w:rPr>
          <w:rFonts w:ascii="Times New Roman" w:eastAsia="ＭＳ 明朝" w:hAnsi="ＭＳ 明朝" w:hint="eastAsia"/>
        </w:rPr>
        <w:t>12</w:t>
      </w:r>
      <w:r w:rsidR="00975DC6">
        <w:rPr>
          <w:rFonts w:ascii="Times New Roman" w:eastAsia="ＭＳ 明朝" w:hAnsi="ＭＳ 明朝" w:hint="eastAsia"/>
        </w:rPr>
        <w:t>セット</w:t>
      </w:r>
      <w:r w:rsidR="00975DC6">
        <w:rPr>
          <w:rFonts w:ascii="Times New Roman" w:eastAsia="ＭＳ 明朝" w:hAnsi="ＭＳ 明朝" w:hint="eastAsia"/>
        </w:rPr>
        <w:t>(2a, b)</w:t>
      </w:r>
      <w:r w:rsidR="00975DC6">
        <w:rPr>
          <w:rFonts w:ascii="Times New Roman" w:eastAsia="ＭＳ 明朝" w:hAnsi="ＭＳ 明朝" w:hint="eastAsia"/>
        </w:rPr>
        <w:t>の計</w:t>
      </w:r>
      <w:r w:rsidR="00975DC6">
        <w:rPr>
          <w:rFonts w:ascii="Times New Roman" w:eastAsia="ＭＳ 明朝" w:hAnsi="ＭＳ 明朝" w:hint="eastAsia"/>
        </w:rPr>
        <w:t>24</w:t>
      </w:r>
      <w:r w:rsidR="00975DC6">
        <w:rPr>
          <w:rFonts w:ascii="Times New Roman" w:eastAsia="ＭＳ 明朝" w:hAnsi="ＭＳ 明朝" w:hint="eastAsia"/>
        </w:rPr>
        <w:t>セットを作成した。</w:t>
      </w:r>
      <w:r w:rsidR="00092093">
        <w:rPr>
          <w:rFonts w:ascii="Times New Roman" w:eastAsia="ＭＳ 明朝" w:hAnsi="ＭＳ 明朝" w:hint="eastAsia"/>
        </w:rPr>
        <w:t>また、</w:t>
      </w:r>
      <w:r w:rsidR="00092093">
        <w:rPr>
          <w:rFonts w:ascii="Times New Roman" w:eastAsia="ＭＳ 明朝" w:hAnsi="ＭＳ 明朝" w:hint="eastAsia"/>
        </w:rPr>
        <w:t>66</w:t>
      </w:r>
      <w:r w:rsidR="00092093">
        <w:rPr>
          <w:rFonts w:ascii="Times New Roman" w:eastAsia="ＭＳ 明朝" w:hAnsi="ＭＳ 明朝" w:hint="eastAsia"/>
        </w:rPr>
        <w:t>文（内</w:t>
      </w:r>
      <w:r w:rsidR="00092093">
        <w:rPr>
          <w:rFonts w:ascii="Times New Roman" w:eastAsia="ＭＳ 明朝" w:hAnsi="ＭＳ 明朝" w:hint="eastAsia"/>
        </w:rPr>
        <w:t>12</w:t>
      </w:r>
      <w:r w:rsidR="00676AA3">
        <w:rPr>
          <w:rFonts w:ascii="Times New Roman" w:eastAsia="ＭＳ 明朝" w:hAnsi="ＭＳ 明朝" w:hint="eastAsia"/>
        </w:rPr>
        <w:t>文は</w:t>
      </w:r>
      <w:r w:rsidR="00092093">
        <w:rPr>
          <w:rFonts w:ascii="Times New Roman" w:eastAsia="ＭＳ 明朝" w:hAnsi="ＭＳ 明朝" w:hint="eastAsia"/>
        </w:rPr>
        <w:t>関係節を含む文）がフ</w:t>
      </w:r>
      <w:r w:rsidR="00676AA3">
        <w:rPr>
          <w:rFonts w:ascii="Times New Roman" w:eastAsia="ＭＳ 明朝" w:hAnsi="ＭＳ 明朝" w:hint="eastAsia"/>
        </w:rPr>
        <w:t>ィラー文として加えられた。</w:t>
      </w:r>
    </w:p>
    <w:p w:rsidR="00092093" w:rsidRDefault="00092093">
      <w:pPr>
        <w:rPr>
          <w:rFonts w:ascii="Times New Roman" w:eastAsia="ＭＳ 明朝" w:hAnsi="ＭＳ 明朝" w:hint="eastAsia"/>
        </w:rPr>
      </w:pPr>
      <w:r>
        <w:rPr>
          <w:rFonts w:ascii="Times New Roman" w:eastAsia="ＭＳ 明朝" w:hAnsi="ＭＳ 明朝" w:hint="eastAsia"/>
        </w:rPr>
        <w:t xml:space="preserve">(3) </w:t>
      </w:r>
      <w:r>
        <w:rPr>
          <w:rFonts w:ascii="Times New Roman" w:eastAsia="ＭＳ 明朝" w:hAnsi="ＭＳ 明朝" w:hint="eastAsia"/>
        </w:rPr>
        <w:t>実験課題　移動窓方式の自己ペース読み課題を実施した。この課題では、実験協力者がキーボードのキーを押しながら、</w:t>
      </w:r>
      <w:r>
        <w:rPr>
          <w:rFonts w:ascii="Times New Roman" w:eastAsia="ＭＳ 明朝" w:hAnsi="ＭＳ 明朝" w:hint="eastAsia"/>
        </w:rPr>
        <w:t>1</w:t>
      </w:r>
      <w:r>
        <w:rPr>
          <w:rFonts w:ascii="Times New Roman" w:eastAsia="ＭＳ 明朝" w:hAnsi="ＭＳ 明朝" w:hint="eastAsia"/>
        </w:rPr>
        <w:t>語ずつ刺激文を読み進めていく。</w:t>
      </w:r>
      <w:r>
        <w:rPr>
          <w:rFonts w:ascii="Times New Roman" w:eastAsia="ＭＳ 明朝" w:hAnsi="ＭＳ 明朝" w:hint="eastAsia"/>
        </w:rPr>
        <w:t>1</w:t>
      </w:r>
      <w:r>
        <w:rPr>
          <w:rFonts w:ascii="Times New Roman" w:eastAsia="ＭＳ 明朝" w:hAnsi="ＭＳ 明朝" w:hint="eastAsia"/>
        </w:rPr>
        <w:t>語ごとに読解に要した時間が、ミリ秒単位でコンピューターに記録された。また各文末には理解度を試す</w:t>
      </w:r>
      <w:r>
        <w:rPr>
          <w:rFonts w:ascii="Times New Roman" w:eastAsia="ＭＳ 明朝" w:hAnsi="ＭＳ 明朝" w:hint="eastAsia"/>
        </w:rPr>
        <w:t>Yes/No</w:t>
      </w:r>
      <w:r>
        <w:rPr>
          <w:rFonts w:ascii="Times New Roman" w:eastAsia="ＭＳ 明朝" w:hAnsi="ＭＳ 明朝" w:hint="eastAsia"/>
        </w:rPr>
        <w:t>問題があり、この問題に対する成否も併せて記録された。</w:t>
      </w:r>
      <w:r w:rsidR="00676AA3" w:rsidRPr="00676AA3">
        <w:rPr>
          <w:rFonts w:ascii="Times New Roman" w:eastAsia="ＭＳ 明朝" w:hAnsi="ＭＳ 明朝" w:hint="eastAsia"/>
        </w:rPr>
        <w:t>実験</w:t>
      </w:r>
      <w:r w:rsidR="00676AA3">
        <w:rPr>
          <w:rFonts w:ascii="Times New Roman" w:eastAsia="ＭＳ 明朝" w:hAnsi="ＭＳ 明朝" w:hint="eastAsia"/>
        </w:rPr>
        <w:t>刺激の提示は、各文が同数の実験協力者に読まれるように統制され、実験協力者は、各タイプにつき</w:t>
      </w:r>
      <w:r w:rsidR="00676AA3">
        <w:rPr>
          <w:rFonts w:ascii="Times New Roman" w:eastAsia="ＭＳ 明朝" w:hAnsi="ＭＳ 明朝" w:hint="eastAsia"/>
        </w:rPr>
        <w:t>4</w:t>
      </w:r>
      <w:r w:rsidR="00676AA3">
        <w:rPr>
          <w:rFonts w:ascii="Times New Roman" w:eastAsia="ＭＳ 明朝" w:hAnsi="ＭＳ 明朝" w:hint="eastAsia"/>
        </w:rPr>
        <w:t>文を読んだ。計</w:t>
      </w:r>
      <w:r w:rsidR="00676AA3">
        <w:rPr>
          <w:rFonts w:ascii="Times New Roman" w:eastAsia="ＭＳ 明朝" w:hAnsi="ＭＳ 明朝" w:hint="eastAsia"/>
        </w:rPr>
        <w:t>90</w:t>
      </w:r>
      <w:r w:rsidR="00676AA3">
        <w:rPr>
          <w:rFonts w:ascii="Times New Roman" w:eastAsia="ＭＳ 明朝" w:hAnsi="ＭＳ 明朝" w:hint="eastAsia"/>
        </w:rPr>
        <w:t>文を読むのにかかった時間はおよそ</w:t>
      </w:r>
      <w:r w:rsidR="00676AA3">
        <w:rPr>
          <w:rFonts w:ascii="Times New Roman" w:eastAsia="ＭＳ 明朝" w:hAnsi="ＭＳ 明朝" w:hint="eastAsia"/>
        </w:rPr>
        <w:t>30</w:t>
      </w:r>
      <w:r w:rsidR="00676AA3">
        <w:rPr>
          <w:rFonts w:ascii="Times New Roman" w:eastAsia="ＭＳ 明朝" w:hAnsi="ＭＳ 明朝" w:hint="eastAsia"/>
        </w:rPr>
        <w:t>分（</w:t>
      </w:r>
      <w:r w:rsidR="00676AA3">
        <w:rPr>
          <w:rFonts w:ascii="Times New Roman" w:eastAsia="ＭＳ 明朝" w:hAnsi="ＭＳ 明朝" w:hint="eastAsia"/>
        </w:rPr>
        <w:t>3</w:t>
      </w:r>
      <w:r w:rsidR="00676AA3">
        <w:rPr>
          <w:rFonts w:ascii="Times New Roman" w:eastAsia="ＭＳ 明朝" w:hAnsi="ＭＳ 明朝" w:hint="eastAsia"/>
        </w:rPr>
        <w:t>分程度の休憩含む）であった。</w:t>
      </w:r>
    </w:p>
    <w:p w:rsidR="00092093" w:rsidRDefault="00092093">
      <w:pPr>
        <w:rPr>
          <w:rFonts w:ascii="Times New Roman" w:eastAsia="ＭＳ 明朝" w:hAnsi="ＭＳ 明朝" w:hint="eastAsia"/>
        </w:rPr>
      </w:pPr>
    </w:p>
    <w:p w:rsidR="00092093" w:rsidRDefault="00092093">
      <w:pPr>
        <w:rPr>
          <w:rFonts w:ascii="Times New Roman" w:eastAsia="ＭＳ 明朝" w:hAnsi="ＭＳ 明朝" w:hint="eastAsia"/>
          <w:b/>
        </w:rPr>
      </w:pPr>
      <w:r>
        <w:rPr>
          <w:rFonts w:ascii="Times New Roman" w:eastAsia="ＭＳ 明朝" w:hAnsi="ＭＳ 明朝" w:hint="eastAsia"/>
          <w:b/>
        </w:rPr>
        <w:t>４</w:t>
      </w:r>
      <w:r w:rsidRPr="00AA7F23">
        <w:rPr>
          <w:rFonts w:ascii="Times New Roman" w:eastAsia="ＭＳ 明朝" w:hAnsi="ＭＳ 明朝"/>
          <w:b/>
        </w:rPr>
        <w:t>．</w:t>
      </w:r>
      <w:r>
        <w:rPr>
          <w:rFonts w:ascii="Times New Roman" w:eastAsia="ＭＳ 明朝" w:hAnsi="ＭＳ 明朝" w:hint="eastAsia"/>
          <w:b/>
        </w:rPr>
        <w:t>結果と考察</w:t>
      </w:r>
    </w:p>
    <w:p w:rsidR="00BD073D" w:rsidRDefault="00BD073D">
      <w:pPr>
        <w:rPr>
          <w:rFonts w:ascii="Times New Roman" w:eastAsia="ＭＳ 明朝" w:hAnsi="ＭＳ 明朝" w:hint="eastAsia"/>
        </w:rPr>
      </w:pPr>
      <w:r>
        <w:rPr>
          <w:rFonts w:ascii="Times New Roman" w:eastAsia="ＭＳ 明朝" w:hAnsi="ＭＳ 明朝" w:hint="eastAsia"/>
        </w:rPr>
        <w:t xml:space="preserve">　各グループの、内容語頻度（高頻度・低頻度）と構造タイプ（主格・目的格）ごとの、</w:t>
      </w:r>
      <w:r w:rsidR="00676AA3">
        <w:rPr>
          <w:rFonts w:ascii="Times New Roman" w:eastAsia="ＭＳ 明朝" w:hAnsi="ＭＳ 明朝" w:hint="eastAsia"/>
        </w:rPr>
        <w:t>理解度チェック問題に対する正答率を表</w:t>
      </w:r>
      <w:r w:rsidR="00676AA3">
        <w:rPr>
          <w:rFonts w:ascii="Times New Roman" w:eastAsia="ＭＳ 明朝" w:hAnsi="ＭＳ 明朝" w:hint="eastAsia"/>
        </w:rPr>
        <w:t>1</w:t>
      </w:r>
      <w:r w:rsidR="00676AA3">
        <w:rPr>
          <w:rFonts w:ascii="Times New Roman" w:eastAsia="ＭＳ 明朝" w:hAnsi="ＭＳ 明朝" w:hint="eastAsia"/>
        </w:rPr>
        <w:t>に、</w:t>
      </w:r>
      <w:r w:rsidR="00BF5CF5">
        <w:rPr>
          <w:rFonts w:ascii="Times New Roman" w:eastAsia="ＭＳ 明朝" w:hAnsi="ＭＳ 明朝" w:hint="eastAsia"/>
        </w:rPr>
        <w:t>分析領域となる上記</w:t>
      </w:r>
      <w:r w:rsidR="00BF5CF5">
        <w:rPr>
          <w:rFonts w:ascii="Times New Roman" w:eastAsia="ＭＳ 明朝" w:hAnsi="ＭＳ 明朝" w:hint="eastAsia"/>
        </w:rPr>
        <w:t>(1, 2)</w:t>
      </w:r>
      <w:r w:rsidR="00BF5CF5">
        <w:rPr>
          <w:rFonts w:ascii="Times New Roman" w:eastAsia="ＭＳ 明朝" w:hAnsi="ＭＳ 明朝" w:hint="eastAsia"/>
        </w:rPr>
        <w:t>の下線部の</w:t>
      </w:r>
      <w:r>
        <w:rPr>
          <w:rFonts w:ascii="Times New Roman" w:eastAsia="ＭＳ 明朝" w:hAnsi="ＭＳ 明朝" w:hint="eastAsia"/>
        </w:rPr>
        <w:t>平均残差読解時間をミリ秒単位で</w:t>
      </w:r>
      <w:r w:rsidR="00676AA3">
        <w:rPr>
          <w:rFonts w:ascii="Times New Roman" w:eastAsia="ＭＳ 明朝" w:hAnsi="ＭＳ 明朝" w:hint="eastAsia"/>
        </w:rPr>
        <w:t>表</w:t>
      </w:r>
      <w:r w:rsidR="00676AA3">
        <w:rPr>
          <w:rFonts w:ascii="Times New Roman" w:eastAsia="ＭＳ 明朝" w:hAnsi="ＭＳ 明朝" w:hint="eastAsia"/>
        </w:rPr>
        <w:t>2</w:t>
      </w:r>
      <w:r w:rsidR="00676AA3">
        <w:rPr>
          <w:rFonts w:ascii="Times New Roman" w:eastAsia="ＭＳ 明朝" w:hAnsi="ＭＳ 明朝" w:hint="eastAsia"/>
        </w:rPr>
        <w:t>に</w:t>
      </w:r>
      <w:r>
        <w:rPr>
          <w:rFonts w:ascii="Times New Roman" w:eastAsia="ＭＳ 明朝" w:hAnsi="ＭＳ 明朝" w:hint="eastAsia"/>
        </w:rPr>
        <w:t>示す。</w:t>
      </w:r>
      <w:r w:rsidR="00BF5CF5">
        <w:rPr>
          <w:rFonts w:ascii="Times New Roman" w:eastAsia="ＭＳ 明朝" w:hAnsi="ＭＳ 明朝" w:hint="eastAsia"/>
        </w:rPr>
        <w:t>カッコ内はそれぞれの標準偏差である。</w:t>
      </w:r>
    </w:p>
    <w:p w:rsidR="00676AA3" w:rsidRDefault="00676AA3">
      <w:pPr>
        <w:rPr>
          <w:rFonts w:ascii="Times New Roman" w:eastAsia="ＭＳ 明朝" w:hAnsi="ＭＳ 明朝" w:hint="eastAsia"/>
        </w:rPr>
      </w:pPr>
    </w:p>
    <w:p w:rsidR="001E2801" w:rsidRDefault="00676AA3">
      <w:pPr>
        <w:rPr>
          <w:rFonts w:ascii="Times New Roman" w:eastAsia="ＭＳ 明朝" w:hAnsi="ＭＳ 明朝" w:hint="eastAsia"/>
        </w:rPr>
      </w:pPr>
      <w:r>
        <w:rPr>
          <w:rFonts w:ascii="Times New Roman" w:eastAsia="ＭＳ 明朝" w:hAnsi="ＭＳ 明朝" w:hint="eastAsia"/>
        </w:rPr>
        <w:t>表</w:t>
      </w:r>
      <w:r>
        <w:rPr>
          <w:rFonts w:ascii="Times New Roman" w:eastAsia="ＭＳ 明朝" w:hAnsi="ＭＳ 明朝" w:hint="eastAsia"/>
        </w:rPr>
        <w:t>1</w:t>
      </w:r>
      <w:r>
        <w:rPr>
          <w:rFonts w:ascii="Times New Roman" w:eastAsia="ＭＳ 明朝" w:hAnsi="ＭＳ 明朝" w:hint="eastAsia"/>
        </w:rPr>
        <w:t xml:space="preserve">．理解度チェック問題正答率　　　　　</w:t>
      </w:r>
      <w:r>
        <w:rPr>
          <w:rFonts w:ascii="Times New Roman" w:eastAsia="ＭＳ 明朝" w:hAnsi="ＭＳ 明朝" w:hint="eastAsia"/>
        </w:rPr>
        <w:t xml:space="preserve"> </w:t>
      </w:r>
      <w:r>
        <w:rPr>
          <w:rFonts w:ascii="Times New Roman" w:eastAsia="ＭＳ 明朝" w:hAnsi="ＭＳ 明朝" w:hint="eastAsia"/>
        </w:rPr>
        <w:t>表</w:t>
      </w:r>
      <w:r>
        <w:rPr>
          <w:rFonts w:ascii="Times New Roman" w:eastAsia="ＭＳ 明朝" w:hAnsi="ＭＳ 明朝" w:hint="eastAsia"/>
        </w:rPr>
        <w:t>2</w:t>
      </w:r>
      <w:r>
        <w:rPr>
          <w:rFonts w:ascii="Times New Roman" w:eastAsia="ＭＳ 明朝" w:hAnsi="ＭＳ 明朝" w:hint="eastAsia"/>
        </w:rPr>
        <w:t>．平均残差読解時間</w:t>
      </w:r>
    </w:p>
    <w:p w:rsidR="001E2801" w:rsidRDefault="00676AA3">
      <w:pPr>
        <w:rPr>
          <w:rFonts w:ascii="Times New Roman" w:eastAsia="ＭＳ 明朝" w:hAnsi="ＭＳ 明朝" w:hint="eastAsia"/>
        </w:rPr>
      </w:pPr>
      <w:r>
        <w:rPr>
          <w:rFonts w:ascii="Times New Roman" w:eastAsia="ＭＳ 明朝" w:hAnsi="ＭＳ 明朝"/>
        </w:rPr>
        <w:object w:dxaOrig="5114" w:dyaOrig="1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pt;height:71pt" o:ole="" o:preferrelative="f">
            <v:imagedata r:id="rId8" o:title=""/>
            <o:lock v:ext="edit" aspectratio="f"/>
          </v:shape>
          <o:OLEObject Type="Embed" ProgID="Excel.Sheet.12" ShapeID="_x0000_i1025" DrawAspect="Content" ObjectID="_1357090320" r:id="rId9"/>
        </w:object>
      </w:r>
      <w:r>
        <w:rPr>
          <w:rFonts w:ascii="Times New Roman" w:eastAsia="ＭＳ 明朝" w:hAnsi="ＭＳ 明朝" w:hint="eastAsia"/>
        </w:rPr>
        <w:t xml:space="preserve">　</w:t>
      </w:r>
      <w:r>
        <w:rPr>
          <w:rFonts w:ascii="Times New Roman" w:eastAsia="ＭＳ 明朝" w:hAnsi="ＭＳ 明朝"/>
        </w:rPr>
        <w:object w:dxaOrig="5114" w:dyaOrig="1242">
          <v:shape id="_x0000_i1026" type="#_x0000_t75" style="width:212pt;height:71pt" o:ole="" o:preferrelative="f">
            <v:imagedata r:id="rId10" o:title=""/>
            <o:lock v:ext="edit" aspectratio="f"/>
          </v:shape>
          <o:OLEObject Type="Embed" ProgID="Excel.Sheet.12" ShapeID="_x0000_i1026" DrawAspect="Content" ObjectID="_1357090321" r:id="rId11"/>
        </w:object>
      </w:r>
    </w:p>
    <w:p w:rsidR="00676AA3" w:rsidRDefault="00676AA3" w:rsidP="00092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ＭＳ 明朝" w:hAnsi="Times New Roman" w:hint="eastAsia"/>
          <w:kern w:val="0"/>
          <w:szCs w:val="24"/>
        </w:rPr>
      </w:pPr>
    </w:p>
    <w:p w:rsidR="008D2D9E" w:rsidRPr="00AA7F23" w:rsidRDefault="00BD073D" w:rsidP="000920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ＭＳ 明朝" w:hAnsi="Times New Roman"/>
          <w:kern w:val="0"/>
          <w:szCs w:val="24"/>
        </w:rPr>
      </w:pPr>
      <w:r>
        <w:rPr>
          <w:rFonts w:ascii="Times New Roman" w:eastAsia="ＭＳ 明朝" w:hAnsi="Times New Roman" w:hint="eastAsia"/>
          <w:kern w:val="0"/>
          <w:szCs w:val="24"/>
        </w:rPr>
        <w:t xml:space="preserve">　上位群は、高頻度語で構成されている文の場合、目的格関係節文のほうが主格関係節文よりも有意に読解時間が長かった（＝処理が難しかった）。一方、低頻度語で構成されている文では、その差が小さくなっており、これは、語彙処理にかかる負荷が大きく、処理容量を使い切ってしまうため、適切な統語処理が行われないためと考えられる</w:t>
      </w:r>
      <w:r w:rsidR="00BF5CF5">
        <w:rPr>
          <w:rFonts w:ascii="Times New Roman" w:eastAsia="ＭＳ 明朝" w:hAnsi="Times New Roman" w:hint="eastAsia"/>
          <w:kern w:val="0"/>
          <w:szCs w:val="24"/>
        </w:rPr>
        <w:t xml:space="preserve"> </w:t>
      </w:r>
      <w:r>
        <w:rPr>
          <w:rFonts w:ascii="Times New Roman" w:eastAsia="ＭＳ 明朝" w:hAnsi="Times New Roman" w:hint="eastAsia"/>
          <w:kern w:val="0"/>
          <w:szCs w:val="24"/>
        </w:rPr>
        <w:t>(Hashimoto, 2010)</w:t>
      </w:r>
      <w:r>
        <w:rPr>
          <w:rFonts w:ascii="Times New Roman" w:eastAsia="ＭＳ 明朝" w:hAnsi="Times New Roman" w:hint="eastAsia"/>
          <w:kern w:val="0"/>
          <w:szCs w:val="24"/>
        </w:rPr>
        <w:t>。一方、下位群の学生は、高頻度語文でも主格と目的格の間に処理難度の</w:t>
      </w:r>
      <w:r w:rsidR="00BF5CF5">
        <w:rPr>
          <w:rFonts w:ascii="Times New Roman" w:eastAsia="ＭＳ 明朝" w:hAnsi="Times New Roman" w:hint="eastAsia"/>
          <w:kern w:val="0"/>
          <w:szCs w:val="24"/>
        </w:rPr>
        <w:t>差は確認されなかった。これは、下位群学習者にとっては、高頻度語</w:t>
      </w:r>
      <w:r>
        <w:rPr>
          <w:rFonts w:ascii="Times New Roman" w:eastAsia="ＭＳ 明朝" w:hAnsi="Times New Roman" w:hint="eastAsia"/>
          <w:kern w:val="0"/>
          <w:szCs w:val="24"/>
        </w:rPr>
        <w:t>（処理が容易と考えられる語）でも、自動的に認識・処理することができ</w:t>
      </w:r>
      <w:r w:rsidR="00CD425D">
        <w:rPr>
          <w:rFonts w:ascii="Times New Roman" w:eastAsia="ＭＳ 明朝" w:hAnsi="Times New Roman" w:hint="eastAsia"/>
          <w:kern w:val="0"/>
          <w:szCs w:val="24"/>
        </w:rPr>
        <w:t>ず</w:t>
      </w:r>
      <w:r w:rsidR="009E0AD5">
        <w:rPr>
          <w:rFonts w:ascii="Times New Roman" w:eastAsia="ＭＳ 明朝" w:hAnsi="Times New Roman" w:hint="eastAsia"/>
          <w:kern w:val="0"/>
          <w:szCs w:val="24"/>
        </w:rPr>
        <w:t>、</w:t>
      </w:r>
      <w:r w:rsidR="00CD425D">
        <w:rPr>
          <w:rFonts w:ascii="Times New Roman" w:eastAsia="ＭＳ 明朝" w:hAnsi="Times New Roman" w:hint="eastAsia"/>
          <w:kern w:val="0"/>
          <w:szCs w:val="24"/>
        </w:rPr>
        <w:t>処理容量の限界から</w:t>
      </w:r>
      <w:r w:rsidR="009E0AD5">
        <w:rPr>
          <w:rFonts w:ascii="Times New Roman" w:eastAsia="ＭＳ 明朝" w:hAnsi="Times New Roman" w:hint="eastAsia"/>
          <w:kern w:val="0"/>
          <w:szCs w:val="24"/>
        </w:rPr>
        <w:t>統語処理が行われていない、という可能性を示唆している。</w:t>
      </w:r>
      <w:r w:rsidR="005325D4">
        <w:rPr>
          <w:rFonts w:ascii="Times New Roman" w:eastAsia="ＭＳ 明朝" w:hAnsi="Times New Roman" w:hint="eastAsia"/>
          <w:kern w:val="0"/>
          <w:szCs w:val="24"/>
        </w:rPr>
        <w:t>また、低頻度語条件では、目的格の読解時間が主格よりも長くかかっているが、低頻度語・目的格条件の正答率がほぼ</w:t>
      </w:r>
      <w:r w:rsidR="005325D4">
        <w:rPr>
          <w:rFonts w:ascii="Times New Roman" w:eastAsia="ＭＳ 明朝" w:hAnsi="Times New Roman" w:hint="eastAsia"/>
          <w:kern w:val="0"/>
          <w:szCs w:val="24"/>
        </w:rPr>
        <w:t>chance level</w:t>
      </w:r>
      <w:r w:rsidR="005325D4">
        <w:rPr>
          <w:rFonts w:ascii="Times New Roman" w:eastAsia="ＭＳ 明朝" w:hAnsi="Times New Roman" w:hint="eastAsia"/>
          <w:kern w:val="0"/>
          <w:szCs w:val="24"/>
        </w:rPr>
        <w:t>であることから、下位群学習者にとっては極めて難しい文であり、処理が破たんした可能性を示唆している。</w:t>
      </w:r>
    </w:p>
    <w:p w:rsidR="008D2D9E" w:rsidRPr="00AA7F23" w:rsidRDefault="008D2D9E">
      <w:pPr>
        <w:rPr>
          <w:rFonts w:ascii="Times New Roman" w:eastAsia="ＭＳ 明朝" w:hAnsi="Times New Roman"/>
        </w:rPr>
      </w:pPr>
    </w:p>
    <w:p w:rsidR="008D2D9E" w:rsidRPr="00AA7F23" w:rsidRDefault="00092093">
      <w:pPr>
        <w:rPr>
          <w:rFonts w:ascii="Times New Roman" w:eastAsia="ＭＳ 明朝" w:hAnsi="Times New Roman"/>
          <w:b/>
        </w:rPr>
      </w:pPr>
      <w:r>
        <w:rPr>
          <w:rFonts w:ascii="Times New Roman" w:eastAsia="ＭＳ 明朝" w:hAnsi="ＭＳ 明朝" w:hint="eastAsia"/>
          <w:b/>
        </w:rPr>
        <w:t>５</w:t>
      </w:r>
      <w:r w:rsidR="008D2D9E" w:rsidRPr="00AA7F23">
        <w:rPr>
          <w:rFonts w:ascii="Times New Roman" w:eastAsia="ＭＳ 明朝" w:hAnsi="ＭＳ 明朝"/>
          <w:b/>
        </w:rPr>
        <w:t>．引用文献</w:t>
      </w:r>
    </w:p>
    <w:p w:rsidR="008D2D9E" w:rsidRPr="003842B1" w:rsidRDefault="00BE196E" w:rsidP="00BE196E">
      <w:pPr>
        <w:ind w:left="550" w:hangingChars="250" w:hanging="550"/>
        <w:jc w:val="left"/>
        <w:rPr>
          <w:rFonts w:ascii="Times New Roman" w:hAnsi="Times New Roman"/>
        </w:rPr>
      </w:pPr>
      <w:r w:rsidRPr="003842B1">
        <w:rPr>
          <w:rFonts w:ascii="Times New Roman" w:hAnsi="Times New Roman"/>
        </w:rPr>
        <w:t xml:space="preserve">Gibson, E., Desmet, T., Grodner, D., Watson, D., &amp; Ko, K. (2005). Reading relative clauses in English. </w:t>
      </w:r>
      <w:r w:rsidRPr="003842B1">
        <w:rPr>
          <w:rFonts w:ascii="Times New Roman" w:hAnsi="Times New Roman"/>
          <w:i/>
          <w:iCs/>
        </w:rPr>
        <w:t>Cognitive Linguistics, 16</w:t>
      </w:r>
      <w:r w:rsidRPr="003842B1">
        <w:rPr>
          <w:rFonts w:ascii="Times New Roman" w:hAnsi="Times New Roman"/>
        </w:rPr>
        <w:t>(2), 313-353.</w:t>
      </w:r>
    </w:p>
    <w:p w:rsidR="00BE196E" w:rsidRPr="003842B1" w:rsidRDefault="00BE196E" w:rsidP="00BE196E">
      <w:pPr>
        <w:ind w:left="550" w:hangingChars="250" w:hanging="550"/>
        <w:jc w:val="left"/>
        <w:rPr>
          <w:rFonts w:ascii="Times New Roman" w:hAnsi="Times New Roman"/>
        </w:rPr>
      </w:pPr>
      <w:r w:rsidRPr="003842B1">
        <w:rPr>
          <w:rFonts w:ascii="Times New Roman" w:hAnsi="Times New Roman"/>
        </w:rPr>
        <w:t>Hashimoto, K. (2010</w:t>
      </w:r>
      <w:r w:rsidR="005325D4" w:rsidRPr="003842B1">
        <w:rPr>
          <w:rFonts w:ascii="Times New Roman" w:hAnsi="Times New Roman"/>
        </w:rPr>
        <w:t>, March</w:t>
      </w:r>
      <w:r w:rsidRPr="003842B1">
        <w:rPr>
          <w:rFonts w:ascii="Times New Roman" w:hAnsi="Times New Roman"/>
        </w:rPr>
        <w:t xml:space="preserve">). </w:t>
      </w:r>
      <w:r w:rsidRPr="003842B1">
        <w:rPr>
          <w:rFonts w:ascii="Times New Roman" w:hAnsi="Times New Roman"/>
          <w:i/>
        </w:rPr>
        <w:t>The interaction of lexical knowledge and syntactic processing: A case of L2 relative clause processing</w:t>
      </w:r>
      <w:r w:rsidR="005325D4" w:rsidRPr="003842B1">
        <w:rPr>
          <w:rFonts w:ascii="Times New Roman" w:hAnsi="Times New Roman"/>
        </w:rPr>
        <w:t>.</w:t>
      </w:r>
      <w:r w:rsidRPr="003842B1">
        <w:rPr>
          <w:rFonts w:ascii="Times New Roman" w:hAnsi="Times New Roman"/>
        </w:rPr>
        <w:t xml:space="preserve"> Paper presented at </w:t>
      </w:r>
      <w:r w:rsidR="00523283" w:rsidRPr="003842B1">
        <w:rPr>
          <w:rFonts w:ascii="Times New Roman" w:hAnsi="Times New Roman"/>
        </w:rPr>
        <w:t xml:space="preserve">the </w:t>
      </w:r>
      <w:r w:rsidRPr="003842B1">
        <w:rPr>
          <w:rFonts w:ascii="Times New Roman" w:hAnsi="Times New Roman"/>
        </w:rPr>
        <w:t>American Association for Applied Linguistics 2010</w:t>
      </w:r>
      <w:r w:rsidR="005325D4" w:rsidRPr="003842B1">
        <w:rPr>
          <w:rFonts w:ascii="Times New Roman" w:hAnsi="Times New Roman"/>
        </w:rPr>
        <w:t>,</w:t>
      </w:r>
      <w:r w:rsidRPr="003842B1">
        <w:rPr>
          <w:rFonts w:ascii="Times New Roman" w:hAnsi="Times New Roman"/>
        </w:rPr>
        <w:t xml:space="preserve"> Atlanta, US.</w:t>
      </w:r>
    </w:p>
    <w:p w:rsidR="00BE196E" w:rsidRPr="003842B1" w:rsidRDefault="00BE196E" w:rsidP="00BE196E">
      <w:pPr>
        <w:ind w:left="550" w:hangingChars="250" w:hanging="550"/>
        <w:jc w:val="left"/>
        <w:rPr>
          <w:rFonts w:ascii="Times New Roman" w:hAnsi="Times New Roman"/>
        </w:rPr>
      </w:pPr>
      <w:r w:rsidRPr="003842B1">
        <w:rPr>
          <w:rFonts w:ascii="Times New Roman" w:hAnsi="Times New Roman"/>
        </w:rPr>
        <w:t xml:space="preserve">Traxler, M. J., Williams, R. S., Blozis, S. A., &amp; Morris, R. K. (2005). Working memory, animacy, and verb class in the processing of relative clauses. </w:t>
      </w:r>
      <w:r w:rsidRPr="003842B1">
        <w:rPr>
          <w:rFonts w:ascii="Times New Roman" w:hAnsi="Times New Roman"/>
          <w:i/>
          <w:iCs/>
        </w:rPr>
        <w:t>Journal of Memory and Language, 53</w:t>
      </w:r>
      <w:r w:rsidRPr="003842B1">
        <w:rPr>
          <w:rFonts w:ascii="Times New Roman" w:hAnsi="Times New Roman"/>
        </w:rPr>
        <w:t>(2), 204-224.</w:t>
      </w:r>
    </w:p>
    <w:sectPr w:rsidR="00BE196E" w:rsidRPr="003842B1">
      <w:pgSz w:w="11906" w:h="16838" w:code="9"/>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DB0" w:rsidRDefault="00721DB0" w:rsidP="008D2D9E">
      <w:r>
        <w:separator/>
      </w:r>
    </w:p>
  </w:endnote>
  <w:endnote w:type="continuationSeparator" w:id="0">
    <w:p w:rsidR="00721DB0" w:rsidRDefault="00721DB0" w:rsidP="008D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ＭＳ 明朝">
    <w:panose1 w:val="02020609040205080304"/>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Palatino Linotype">
    <w:panose1 w:val="02040502050505030304"/>
    <w:charset w:val="00"/>
    <w:family w:val="auto"/>
    <w:pitch w:val="variable"/>
    <w:sig w:usb0="E0000287" w:usb1="40000013" w:usb2="00000000" w:usb3="00000000" w:csb0="0000019F" w:csb1="00000000"/>
  </w:font>
  <w:font w:name="HG教科書体">
    <w:altName w:val="ＭＳ 明朝"/>
    <w:charset w:val="80"/>
    <w:family w:val="roman"/>
    <w:pitch w:val="fixed"/>
    <w:sig w:usb0="80000281" w:usb1="28C76CF8"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DB0" w:rsidRDefault="00721DB0" w:rsidP="008D2D9E">
      <w:r>
        <w:separator/>
      </w:r>
    </w:p>
  </w:footnote>
  <w:footnote w:type="continuationSeparator" w:id="0">
    <w:p w:rsidR="00721DB0" w:rsidRDefault="00721DB0" w:rsidP="008D2D9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9AFBD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E55F20"/>
    <w:multiLevelType w:val="hybridMultilevel"/>
    <w:tmpl w:val="4DB4697E"/>
    <w:lvl w:ilvl="0" w:tplc="0409000B">
      <w:start w:val="1"/>
      <w:numFmt w:val="bullet"/>
      <w:lvlText w:val=""/>
      <w:lvlJc w:val="left"/>
      <w:pPr>
        <w:ind w:left="1756" w:hanging="420"/>
      </w:pPr>
      <w:rPr>
        <w:rFonts w:ascii="Wingdings" w:hAnsi="Wingdings" w:hint="default"/>
      </w:rPr>
    </w:lvl>
    <w:lvl w:ilvl="1" w:tplc="0409000B">
      <w:start w:val="1"/>
      <w:numFmt w:val="bullet"/>
      <w:lvlText w:val=""/>
      <w:lvlJc w:val="left"/>
      <w:pPr>
        <w:ind w:left="2176" w:hanging="420"/>
      </w:pPr>
      <w:rPr>
        <w:rFonts w:ascii="Wingdings" w:hAnsi="Wingdings" w:hint="default"/>
      </w:rPr>
    </w:lvl>
    <w:lvl w:ilvl="2" w:tplc="0409000D" w:tentative="1">
      <w:start w:val="1"/>
      <w:numFmt w:val="bullet"/>
      <w:lvlText w:val=""/>
      <w:lvlJc w:val="left"/>
      <w:pPr>
        <w:ind w:left="2596" w:hanging="420"/>
      </w:pPr>
      <w:rPr>
        <w:rFonts w:ascii="Wingdings" w:hAnsi="Wingdings" w:hint="default"/>
      </w:rPr>
    </w:lvl>
    <w:lvl w:ilvl="3" w:tplc="04090001" w:tentative="1">
      <w:start w:val="1"/>
      <w:numFmt w:val="bullet"/>
      <w:lvlText w:val=""/>
      <w:lvlJc w:val="left"/>
      <w:pPr>
        <w:ind w:left="3016" w:hanging="420"/>
      </w:pPr>
      <w:rPr>
        <w:rFonts w:ascii="Wingdings" w:hAnsi="Wingdings" w:hint="default"/>
      </w:rPr>
    </w:lvl>
    <w:lvl w:ilvl="4" w:tplc="0409000B" w:tentative="1">
      <w:start w:val="1"/>
      <w:numFmt w:val="bullet"/>
      <w:lvlText w:val=""/>
      <w:lvlJc w:val="left"/>
      <w:pPr>
        <w:ind w:left="3436" w:hanging="420"/>
      </w:pPr>
      <w:rPr>
        <w:rFonts w:ascii="Wingdings" w:hAnsi="Wingdings" w:hint="default"/>
      </w:rPr>
    </w:lvl>
    <w:lvl w:ilvl="5" w:tplc="0409000D" w:tentative="1">
      <w:start w:val="1"/>
      <w:numFmt w:val="bullet"/>
      <w:lvlText w:val=""/>
      <w:lvlJc w:val="left"/>
      <w:pPr>
        <w:ind w:left="3856" w:hanging="420"/>
      </w:pPr>
      <w:rPr>
        <w:rFonts w:ascii="Wingdings" w:hAnsi="Wingdings" w:hint="default"/>
      </w:rPr>
    </w:lvl>
    <w:lvl w:ilvl="6" w:tplc="04090001" w:tentative="1">
      <w:start w:val="1"/>
      <w:numFmt w:val="bullet"/>
      <w:lvlText w:val=""/>
      <w:lvlJc w:val="left"/>
      <w:pPr>
        <w:ind w:left="4276" w:hanging="420"/>
      </w:pPr>
      <w:rPr>
        <w:rFonts w:ascii="Wingdings" w:hAnsi="Wingdings" w:hint="default"/>
      </w:rPr>
    </w:lvl>
    <w:lvl w:ilvl="7" w:tplc="0409000B" w:tentative="1">
      <w:start w:val="1"/>
      <w:numFmt w:val="bullet"/>
      <w:lvlText w:val=""/>
      <w:lvlJc w:val="left"/>
      <w:pPr>
        <w:ind w:left="4696" w:hanging="420"/>
      </w:pPr>
      <w:rPr>
        <w:rFonts w:ascii="Wingdings" w:hAnsi="Wingdings" w:hint="default"/>
      </w:rPr>
    </w:lvl>
    <w:lvl w:ilvl="8" w:tplc="0409000D" w:tentative="1">
      <w:start w:val="1"/>
      <w:numFmt w:val="bullet"/>
      <w:lvlText w:val=""/>
      <w:lvlJc w:val="left"/>
      <w:pPr>
        <w:ind w:left="5116" w:hanging="420"/>
      </w:pPr>
      <w:rPr>
        <w:rFonts w:ascii="Wingdings" w:hAnsi="Wingdings" w:hint="default"/>
      </w:rPr>
    </w:lvl>
  </w:abstractNum>
  <w:abstractNum w:abstractNumId="2">
    <w:nsid w:val="141355A6"/>
    <w:multiLevelType w:val="hybridMultilevel"/>
    <w:tmpl w:val="05866970"/>
    <w:lvl w:ilvl="0" w:tplc="10EEC264">
      <w:start w:val="1"/>
      <w:numFmt w:val="lowerLetter"/>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nsid w:val="16545595"/>
    <w:multiLevelType w:val="hybridMultilevel"/>
    <w:tmpl w:val="DD0EE3D4"/>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nsid w:val="1C6865F4"/>
    <w:multiLevelType w:val="hybridMultilevel"/>
    <w:tmpl w:val="32AA0E72"/>
    <w:lvl w:ilvl="0">
      <w:start w:val="1"/>
      <w:numFmt w:val="decimal"/>
      <w:lvlText w:val="%1."/>
      <w:lvlJc w:val="left"/>
      <w:pPr>
        <w:tabs>
          <w:tab w:val="num" w:pos="360"/>
        </w:tabs>
        <w:ind w:left="360" w:hanging="36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5">
    <w:nsid w:val="1D5913AC"/>
    <w:multiLevelType w:val="hybridMultilevel"/>
    <w:tmpl w:val="ACAA6730"/>
    <w:lvl w:ilvl="0" w:tplc="5198C2FA">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295F614E"/>
    <w:multiLevelType w:val="hybridMultilevel"/>
    <w:tmpl w:val="6378821C"/>
    <w:lvl w:ilvl="0" w:tplc="04090001">
      <w:start w:val="1"/>
      <w:numFmt w:val="bullet"/>
      <w:lvlText w:val=""/>
      <w:lvlJc w:val="left"/>
      <w:pPr>
        <w:ind w:left="700" w:hanging="480"/>
      </w:pPr>
      <w:rPr>
        <w:rFonts w:ascii="Wingdings" w:hAnsi="Wingdings" w:hint="default"/>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7">
    <w:nsid w:val="2ABD5203"/>
    <w:multiLevelType w:val="hybridMultilevel"/>
    <w:tmpl w:val="434C0AB4"/>
    <w:lvl w:ilvl="0" w:tplc="EA426704">
      <w:start w:val="1"/>
      <w:numFmt w:val="lowerLetter"/>
      <w:lvlText w:val="%1"/>
      <w:lvlJc w:val="left"/>
      <w:pPr>
        <w:tabs>
          <w:tab w:val="num" w:pos="640"/>
        </w:tabs>
        <w:ind w:left="640" w:hanging="4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8">
    <w:nsid w:val="2FDB118A"/>
    <w:multiLevelType w:val="multilevel"/>
    <w:tmpl w:val="056AFB78"/>
    <w:lvl w:ilvl="0">
      <w:start w:val="1"/>
      <w:numFmt w:val="decimal"/>
      <w:lvlText w:val="%1."/>
      <w:lvlJc w:val="left"/>
      <w:pPr>
        <w:tabs>
          <w:tab w:val="num" w:pos="640"/>
        </w:tabs>
        <w:ind w:left="640" w:hanging="420"/>
      </w:pPr>
    </w:lvl>
    <w:lvl w:ilvl="1">
      <w:start w:val="1"/>
      <w:numFmt w:val="aiueoFullWidth"/>
      <w:lvlText w:val="(%2)"/>
      <w:lvlJc w:val="left"/>
      <w:pPr>
        <w:tabs>
          <w:tab w:val="num" w:pos="1060"/>
        </w:tabs>
        <w:ind w:left="1060" w:hanging="420"/>
      </w:pPr>
    </w:lvl>
    <w:lvl w:ilvl="2">
      <w:start w:val="1"/>
      <w:numFmt w:val="decimalEnclosedCircle"/>
      <w:lvlText w:val="%3"/>
      <w:lvlJc w:val="left"/>
      <w:pPr>
        <w:tabs>
          <w:tab w:val="num" w:pos="1480"/>
        </w:tabs>
        <w:ind w:left="1480" w:hanging="420"/>
      </w:pPr>
    </w:lvl>
    <w:lvl w:ilvl="3">
      <w:start w:val="1"/>
      <w:numFmt w:val="decimal"/>
      <w:lvlText w:val="%4."/>
      <w:lvlJc w:val="left"/>
      <w:pPr>
        <w:tabs>
          <w:tab w:val="num" w:pos="1900"/>
        </w:tabs>
        <w:ind w:left="1900" w:hanging="420"/>
      </w:pPr>
    </w:lvl>
    <w:lvl w:ilvl="4">
      <w:start w:val="1"/>
      <w:numFmt w:val="aiueoFullWidth"/>
      <w:lvlText w:val="(%5)"/>
      <w:lvlJc w:val="left"/>
      <w:pPr>
        <w:tabs>
          <w:tab w:val="num" w:pos="2320"/>
        </w:tabs>
        <w:ind w:left="2320" w:hanging="420"/>
      </w:pPr>
    </w:lvl>
    <w:lvl w:ilvl="5">
      <w:start w:val="1"/>
      <w:numFmt w:val="decimalEnclosedCircle"/>
      <w:lvlText w:val="%6"/>
      <w:lvlJc w:val="left"/>
      <w:pPr>
        <w:tabs>
          <w:tab w:val="num" w:pos="2740"/>
        </w:tabs>
        <w:ind w:left="2740" w:hanging="420"/>
      </w:pPr>
    </w:lvl>
    <w:lvl w:ilvl="6">
      <w:start w:val="1"/>
      <w:numFmt w:val="decimal"/>
      <w:lvlText w:val="%7."/>
      <w:lvlJc w:val="left"/>
      <w:pPr>
        <w:tabs>
          <w:tab w:val="num" w:pos="3160"/>
        </w:tabs>
        <w:ind w:left="3160" w:hanging="420"/>
      </w:pPr>
    </w:lvl>
    <w:lvl w:ilvl="7">
      <w:start w:val="1"/>
      <w:numFmt w:val="aiueoFullWidth"/>
      <w:lvlText w:val="(%8)"/>
      <w:lvlJc w:val="left"/>
      <w:pPr>
        <w:tabs>
          <w:tab w:val="num" w:pos="3580"/>
        </w:tabs>
        <w:ind w:left="3580" w:hanging="420"/>
      </w:pPr>
    </w:lvl>
    <w:lvl w:ilvl="8">
      <w:start w:val="1"/>
      <w:numFmt w:val="decimalEnclosedCircle"/>
      <w:lvlText w:val="%9"/>
      <w:lvlJc w:val="left"/>
      <w:pPr>
        <w:tabs>
          <w:tab w:val="num" w:pos="4000"/>
        </w:tabs>
        <w:ind w:left="4000" w:hanging="420"/>
      </w:pPr>
    </w:lvl>
  </w:abstractNum>
  <w:abstractNum w:abstractNumId="9">
    <w:nsid w:val="4BBE0BA0"/>
    <w:multiLevelType w:val="hybridMultilevel"/>
    <w:tmpl w:val="966E8EB8"/>
    <w:lvl w:ilvl="0">
      <w:start w:val="1"/>
      <w:numFmt w:val="lowerLetter"/>
      <w:lvlText w:val="%1."/>
      <w:lvlJc w:val="left"/>
      <w:pPr>
        <w:tabs>
          <w:tab w:val="num" w:pos="580"/>
        </w:tabs>
        <w:ind w:left="580" w:hanging="360"/>
      </w:pPr>
      <w:rPr>
        <w:rFonts w:hint="default"/>
      </w:rPr>
    </w:lvl>
    <w:lvl w:ilvl="1" w:tentative="1">
      <w:start w:val="1"/>
      <w:numFmt w:val="aiueoFullWidth"/>
      <w:lvlText w:val="(%2)"/>
      <w:lvlJc w:val="left"/>
      <w:pPr>
        <w:tabs>
          <w:tab w:val="num" w:pos="1060"/>
        </w:tabs>
        <w:ind w:left="1060" w:hanging="420"/>
      </w:pPr>
    </w:lvl>
    <w:lvl w:ilvl="2" w:tentative="1">
      <w:start w:val="1"/>
      <w:numFmt w:val="decimalEnclosedCircle"/>
      <w:lvlText w:val="%3"/>
      <w:lvlJc w:val="left"/>
      <w:pPr>
        <w:tabs>
          <w:tab w:val="num" w:pos="1480"/>
        </w:tabs>
        <w:ind w:left="1480" w:hanging="420"/>
      </w:pPr>
    </w:lvl>
    <w:lvl w:ilvl="3" w:tentative="1">
      <w:start w:val="1"/>
      <w:numFmt w:val="decimal"/>
      <w:lvlText w:val="%4."/>
      <w:lvlJc w:val="left"/>
      <w:pPr>
        <w:tabs>
          <w:tab w:val="num" w:pos="1900"/>
        </w:tabs>
        <w:ind w:left="1900" w:hanging="420"/>
      </w:pPr>
    </w:lvl>
    <w:lvl w:ilvl="4" w:tentative="1">
      <w:start w:val="1"/>
      <w:numFmt w:val="aiueoFullWidth"/>
      <w:lvlText w:val="(%5)"/>
      <w:lvlJc w:val="left"/>
      <w:pPr>
        <w:tabs>
          <w:tab w:val="num" w:pos="2320"/>
        </w:tabs>
        <w:ind w:left="2320" w:hanging="420"/>
      </w:pPr>
    </w:lvl>
    <w:lvl w:ilvl="5" w:tentative="1">
      <w:start w:val="1"/>
      <w:numFmt w:val="decimalEnclosedCircle"/>
      <w:lvlText w:val="%6"/>
      <w:lvlJc w:val="left"/>
      <w:pPr>
        <w:tabs>
          <w:tab w:val="num" w:pos="2740"/>
        </w:tabs>
        <w:ind w:left="2740" w:hanging="420"/>
      </w:pPr>
    </w:lvl>
    <w:lvl w:ilvl="6" w:tentative="1">
      <w:start w:val="1"/>
      <w:numFmt w:val="decimal"/>
      <w:lvlText w:val="%7."/>
      <w:lvlJc w:val="left"/>
      <w:pPr>
        <w:tabs>
          <w:tab w:val="num" w:pos="3160"/>
        </w:tabs>
        <w:ind w:left="3160" w:hanging="420"/>
      </w:pPr>
    </w:lvl>
    <w:lvl w:ilvl="7" w:tentative="1">
      <w:start w:val="1"/>
      <w:numFmt w:val="aiueoFullWidth"/>
      <w:lvlText w:val="(%8)"/>
      <w:lvlJc w:val="left"/>
      <w:pPr>
        <w:tabs>
          <w:tab w:val="num" w:pos="3580"/>
        </w:tabs>
        <w:ind w:left="3580" w:hanging="420"/>
      </w:pPr>
    </w:lvl>
    <w:lvl w:ilvl="8" w:tentative="1">
      <w:start w:val="1"/>
      <w:numFmt w:val="decimalEnclosedCircle"/>
      <w:lvlText w:val="%9"/>
      <w:lvlJc w:val="left"/>
      <w:pPr>
        <w:tabs>
          <w:tab w:val="num" w:pos="4000"/>
        </w:tabs>
        <w:ind w:left="4000" w:hanging="420"/>
      </w:pPr>
    </w:lvl>
  </w:abstractNum>
  <w:abstractNum w:abstractNumId="10">
    <w:nsid w:val="58946D91"/>
    <w:multiLevelType w:val="hybridMultilevel"/>
    <w:tmpl w:val="6378821C"/>
    <w:lvl w:ilvl="0" w:tplc="04090001">
      <w:start w:val="1"/>
      <w:numFmt w:val="bullet"/>
      <w:lvlText w:val=""/>
      <w:lvlJc w:val="left"/>
      <w:pPr>
        <w:ind w:left="700" w:hanging="480"/>
      </w:pPr>
      <w:rPr>
        <w:rFonts w:ascii="Symbol" w:hAnsi="Symbol" w:hint="default"/>
        <w:sz w:val="28"/>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11">
    <w:nsid w:val="5BB85D2E"/>
    <w:multiLevelType w:val="hybridMultilevel"/>
    <w:tmpl w:val="7AE28CE2"/>
    <w:lvl w:ilvl="0" w:tplc="5198C2FA">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nsid w:val="60364A2D"/>
    <w:multiLevelType w:val="hybridMultilevel"/>
    <w:tmpl w:val="2A0C9D86"/>
    <w:lvl w:ilvl="0" w:tplc="5198C2FA">
      <w:numFmt w:val="bullet"/>
      <w:lvlText w:val="・"/>
      <w:lvlJc w:val="left"/>
      <w:pPr>
        <w:ind w:left="1756" w:hanging="420"/>
      </w:pPr>
      <w:rPr>
        <w:rFonts w:ascii="ＭＳ 明朝" w:eastAsia="ＭＳ 明朝" w:hAnsi="ＭＳ 明朝" w:cs="Times New Roman" w:hint="eastAsia"/>
      </w:rPr>
    </w:lvl>
    <w:lvl w:ilvl="1" w:tplc="0409000B">
      <w:start w:val="1"/>
      <w:numFmt w:val="bullet"/>
      <w:lvlText w:val=""/>
      <w:lvlJc w:val="left"/>
      <w:pPr>
        <w:ind w:left="2176" w:hanging="420"/>
      </w:pPr>
      <w:rPr>
        <w:rFonts w:ascii="Wingdings" w:hAnsi="Wingdings" w:hint="default"/>
      </w:rPr>
    </w:lvl>
    <w:lvl w:ilvl="2" w:tplc="0409000D" w:tentative="1">
      <w:start w:val="1"/>
      <w:numFmt w:val="bullet"/>
      <w:lvlText w:val=""/>
      <w:lvlJc w:val="left"/>
      <w:pPr>
        <w:ind w:left="2596" w:hanging="420"/>
      </w:pPr>
      <w:rPr>
        <w:rFonts w:ascii="Wingdings" w:hAnsi="Wingdings" w:hint="default"/>
      </w:rPr>
    </w:lvl>
    <w:lvl w:ilvl="3" w:tplc="04090001" w:tentative="1">
      <w:start w:val="1"/>
      <w:numFmt w:val="bullet"/>
      <w:lvlText w:val=""/>
      <w:lvlJc w:val="left"/>
      <w:pPr>
        <w:ind w:left="3016" w:hanging="420"/>
      </w:pPr>
      <w:rPr>
        <w:rFonts w:ascii="Wingdings" w:hAnsi="Wingdings" w:hint="default"/>
      </w:rPr>
    </w:lvl>
    <w:lvl w:ilvl="4" w:tplc="0409000B" w:tentative="1">
      <w:start w:val="1"/>
      <w:numFmt w:val="bullet"/>
      <w:lvlText w:val=""/>
      <w:lvlJc w:val="left"/>
      <w:pPr>
        <w:ind w:left="3436" w:hanging="420"/>
      </w:pPr>
      <w:rPr>
        <w:rFonts w:ascii="Wingdings" w:hAnsi="Wingdings" w:hint="default"/>
      </w:rPr>
    </w:lvl>
    <w:lvl w:ilvl="5" w:tplc="0409000D" w:tentative="1">
      <w:start w:val="1"/>
      <w:numFmt w:val="bullet"/>
      <w:lvlText w:val=""/>
      <w:lvlJc w:val="left"/>
      <w:pPr>
        <w:ind w:left="3856" w:hanging="420"/>
      </w:pPr>
      <w:rPr>
        <w:rFonts w:ascii="Wingdings" w:hAnsi="Wingdings" w:hint="default"/>
      </w:rPr>
    </w:lvl>
    <w:lvl w:ilvl="6" w:tplc="04090001" w:tentative="1">
      <w:start w:val="1"/>
      <w:numFmt w:val="bullet"/>
      <w:lvlText w:val=""/>
      <w:lvlJc w:val="left"/>
      <w:pPr>
        <w:ind w:left="4276" w:hanging="420"/>
      </w:pPr>
      <w:rPr>
        <w:rFonts w:ascii="Wingdings" w:hAnsi="Wingdings" w:hint="default"/>
      </w:rPr>
    </w:lvl>
    <w:lvl w:ilvl="7" w:tplc="0409000B" w:tentative="1">
      <w:start w:val="1"/>
      <w:numFmt w:val="bullet"/>
      <w:lvlText w:val=""/>
      <w:lvlJc w:val="left"/>
      <w:pPr>
        <w:ind w:left="4696" w:hanging="420"/>
      </w:pPr>
      <w:rPr>
        <w:rFonts w:ascii="Wingdings" w:hAnsi="Wingdings" w:hint="default"/>
      </w:rPr>
    </w:lvl>
    <w:lvl w:ilvl="8" w:tplc="0409000D" w:tentative="1">
      <w:start w:val="1"/>
      <w:numFmt w:val="bullet"/>
      <w:lvlText w:val=""/>
      <w:lvlJc w:val="left"/>
      <w:pPr>
        <w:ind w:left="5116" w:hanging="420"/>
      </w:pPr>
      <w:rPr>
        <w:rFonts w:ascii="Wingdings" w:hAnsi="Wingdings" w:hint="default"/>
      </w:rPr>
    </w:lvl>
  </w:abstractNum>
  <w:abstractNum w:abstractNumId="13">
    <w:nsid w:val="6DB51613"/>
    <w:multiLevelType w:val="singleLevel"/>
    <w:tmpl w:val="11B0E55C"/>
    <w:lvl w:ilvl="0">
      <w:start w:val="4"/>
      <w:numFmt w:val="decimal"/>
      <w:lvlText w:val="%1.)"/>
      <w:lvlJc w:val="left"/>
      <w:pPr>
        <w:tabs>
          <w:tab w:val="num" w:pos="360"/>
        </w:tabs>
        <w:ind w:left="360" w:hanging="360"/>
      </w:pPr>
      <w:rPr>
        <w:rFonts w:hint="eastAsia"/>
      </w:rPr>
    </w:lvl>
  </w:abstractNum>
  <w:abstractNum w:abstractNumId="14">
    <w:nsid w:val="7C0C1DE9"/>
    <w:multiLevelType w:val="hybridMultilevel"/>
    <w:tmpl w:val="B02E8198"/>
    <w:lvl w:ilvl="0" w:tplc="A12C8C44">
      <w:start w:val="1"/>
      <w:numFmt w:val="lowerLetter"/>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5">
    <w:nsid w:val="7ED1694C"/>
    <w:multiLevelType w:val="hybridMultilevel"/>
    <w:tmpl w:val="6378821C"/>
    <w:lvl w:ilvl="0" w:tplc="04090001">
      <w:start w:val="1"/>
      <w:numFmt w:val="bullet"/>
      <w:lvlText w:val=""/>
      <w:lvlJc w:val="left"/>
      <w:pPr>
        <w:ind w:left="700" w:hanging="480"/>
      </w:pPr>
      <w:rPr>
        <w:rFonts w:ascii="Symbol" w:hAnsi="Symbol" w:hint="default"/>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num w:numId="1">
    <w:abstractNumId w:val="13"/>
  </w:num>
  <w:num w:numId="2">
    <w:abstractNumId w:val="4"/>
  </w:num>
  <w:num w:numId="3">
    <w:abstractNumId w:val="9"/>
  </w:num>
  <w:num w:numId="4">
    <w:abstractNumId w:val="7"/>
  </w:num>
  <w:num w:numId="5">
    <w:abstractNumId w:val="8"/>
  </w:num>
  <w:num w:numId="6">
    <w:abstractNumId w:val="14"/>
  </w:num>
  <w:num w:numId="7">
    <w:abstractNumId w:val="2"/>
  </w:num>
  <w:num w:numId="8">
    <w:abstractNumId w:val="3"/>
  </w:num>
  <w:num w:numId="9">
    <w:abstractNumId w:val="11"/>
  </w:num>
  <w:num w:numId="10">
    <w:abstractNumId w:val="5"/>
  </w:num>
  <w:num w:numId="11">
    <w:abstractNumId w:val="12"/>
  </w:num>
  <w:num w:numId="12">
    <w:abstractNumId w:val="6"/>
  </w:num>
  <w:num w:numId="13">
    <w:abstractNumId w:val="15"/>
  </w:num>
  <w:num w:numId="14">
    <w:abstractNumId w:val="10"/>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03A"/>
    <w:rsid w:val="00092093"/>
    <w:rsid w:val="000C6CFE"/>
    <w:rsid w:val="00162CC3"/>
    <w:rsid w:val="00191616"/>
    <w:rsid w:val="001E2801"/>
    <w:rsid w:val="00275C5B"/>
    <w:rsid w:val="00353BDA"/>
    <w:rsid w:val="00367037"/>
    <w:rsid w:val="003842B1"/>
    <w:rsid w:val="00445842"/>
    <w:rsid w:val="00472574"/>
    <w:rsid w:val="00520EC8"/>
    <w:rsid w:val="00523283"/>
    <w:rsid w:val="005325D4"/>
    <w:rsid w:val="00553BE7"/>
    <w:rsid w:val="00676AA3"/>
    <w:rsid w:val="00721DB0"/>
    <w:rsid w:val="007477FE"/>
    <w:rsid w:val="00764985"/>
    <w:rsid w:val="007D50BE"/>
    <w:rsid w:val="007F6F4F"/>
    <w:rsid w:val="00831141"/>
    <w:rsid w:val="008B3F59"/>
    <w:rsid w:val="008D2D9E"/>
    <w:rsid w:val="00975DC6"/>
    <w:rsid w:val="009E0AD5"/>
    <w:rsid w:val="00BD073D"/>
    <w:rsid w:val="00BE196E"/>
    <w:rsid w:val="00BE1DE7"/>
    <w:rsid w:val="00BF5CF5"/>
    <w:rsid w:val="00CD425D"/>
    <w:rsid w:val="00CF2D3B"/>
    <w:rsid w:val="00DC2CD4"/>
    <w:rsid w:val="00E90859"/>
    <w:rsid w:val="00EA50A6"/>
    <w:rsid w:val="00EF1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Palatino Linotype" w:eastAsia="HG教科書体" w:hAnsi="Palatino Linotype"/>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character" w:styleId="a4">
    <w:name w:val="annotation reference"/>
    <w:basedOn w:val="a0"/>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2179F"/>
    <w:pPr>
      <w:tabs>
        <w:tab w:val="center" w:pos="4252"/>
        <w:tab w:val="right" w:pos="8504"/>
      </w:tabs>
      <w:snapToGrid w:val="0"/>
    </w:pPr>
  </w:style>
  <w:style w:type="character" w:customStyle="1" w:styleId="a9">
    <w:name w:val="ヘッダー (文字)"/>
    <w:basedOn w:val="a0"/>
    <w:link w:val="a8"/>
    <w:rsid w:val="00E2179F"/>
    <w:rPr>
      <w:rFonts w:ascii="Palatino Linotype" w:eastAsia="HG教科書体" w:hAnsi="Palatino Linotype"/>
      <w:kern w:val="2"/>
      <w:sz w:val="22"/>
      <w:szCs w:val="22"/>
    </w:rPr>
  </w:style>
  <w:style w:type="paragraph" w:styleId="aa">
    <w:name w:val="footer"/>
    <w:basedOn w:val="a"/>
    <w:link w:val="ab"/>
    <w:rsid w:val="00E2179F"/>
    <w:pPr>
      <w:tabs>
        <w:tab w:val="center" w:pos="4252"/>
        <w:tab w:val="right" w:pos="8504"/>
      </w:tabs>
      <w:snapToGrid w:val="0"/>
    </w:pPr>
  </w:style>
  <w:style w:type="character" w:customStyle="1" w:styleId="ab">
    <w:name w:val="フッター (文字)"/>
    <w:basedOn w:val="a0"/>
    <w:link w:val="aa"/>
    <w:rsid w:val="00E2179F"/>
    <w:rPr>
      <w:rFonts w:ascii="Palatino Linotype" w:eastAsia="HG教科書体" w:hAnsi="Palatino Linotype"/>
      <w:kern w:val="2"/>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Palatino Linotype" w:eastAsia="HG教科書体" w:hAnsi="Palatino Linotype"/>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character" w:styleId="a4">
    <w:name w:val="annotation reference"/>
    <w:basedOn w:val="a0"/>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2179F"/>
    <w:pPr>
      <w:tabs>
        <w:tab w:val="center" w:pos="4252"/>
        <w:tab w:val="right" w:pos="8504"/>
      </w:tabs>
      <w:snapToGrid w:val="0"/>
    </w:pPr>
  </w:style>
  <w:style w:type="character" w:customStyle="1" w:styleId="a9">
    <w:name w:val="ヘッダー (文字)"/>
    <w:basedOn w:val="a0"/>
    <w:link w:val="a8"/>
    <w:rsid w:val="00E2179F"/>
    <w:rPr>
      <w:rFonts w:ascii="Palatino Linotype" w:eastAsia="HG教科書体" w:hAnsi="Palatino Linotype"/>
      <w:kern w:val="2"/>
      <w:sz w:val="22"/>
      <w:szCs w:val="22"/>
    </w:rPr>
  </w:style>
  <w:style w:type="paragraph" w:styleId="aa">
    <w:name w:val="footer"/>
    <w:basedOn w:val="a"/>
    <w:link w:val="ab"/>
    <w:rsid w:val="00E2179F"/>
    <w:pPr>
      <w:tabs>
        <w:tab w:val="center" w:pos="4252"/>
        <w:tab w:val="right" w:pos="8504"/>
      </w:tabs>
      <w:snapToGrid w:val="0"/>
    </w:pPr>
  </w:style>
  <w:style w:type="character" w:customStyle="1" w:styleId="ab">
    <w:name w:val="フッター (文字)"/>
    <w:basedOn w:val="a0"/>
    <w:link w:val="aa"/>
    <w:rsid w:val="00E2179F"/>
    <w:rPr>
      <w:rFonts w:ascii="Palatino Linotype" w:eastAsia="HG教科書体" w:hAnsi="Palatino Linotype"/>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3984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package" Target="embeddings/Microsoft_Excel____2.xlsx"/><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package" Target="embeddings/Microsoft_Excel____1.xlsx"/><Relationship Id="rId10" Type="http://schemas.openxmlformats.org/officeDocument/2006/relationships/image" Target="media/image2.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3031</Characters>
  <Application>Microsoft Macintosh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自由研究発表予稿集用テンプレート</vt:lpstr>
      <vt:lpstr>自由研究発表予稿集用テンプレート</vt:lpstr>
    </vt:vector>
  </TitlesOfParts>
  <Company/>
  <LinksUpToDate>false</LinksUpToDate>
  <CharactersWithSpaces>3555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自由研究発表予稿集用テンプレート</dc:title>
  <dc:subject/>
  <dc:creator>第36回全国英語教育学会大阪研究大会実行委員会</dc:creator>
  <cp:keywords/>
  <cp:lastModifiedBy>大和 知史</cp:lastModifiedBy>
  <cp:revision>2</cp:revision>
  <cp:lastPrinted>2009-04-03T21:24:00Z</cp:lastPrinted>
  <dcterms:created xsi:type="dcterms:W3CDTF">2015-01-19T19:46:00Z</dcterms:created>
  <dcterms:modified xsi:type="dcterms:W3CDTF">2015-01-19T19:46:00Z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-2127766126</vt:i4>
  </property>
  <property fmtid="{D5CDD505-2E9C-101B-9397-08002B2CF9AE}" pid="3" name="_EmailSubject">
    <vt:lpwstr>テンプレート</vt:lpwstr>
  </property>
  <property fmtid="{D5CDD505-2E9C-101B-9397-08002B2CF9AE}" pid="4" name="_AuthorEmail">
    <vt:lpwstr>sakaih@shinshu-u.ac.jp</vt:lpwstr>
  </property>
  <property fmtid="{D5CDD505-2E9C-101B-9397-08002B2CF9AE}" pid="5" name="_AuthorEmailDisplayName">
    <vt:lpwstr>sakaih</vt:lpwstr>
  </property>
  <property fmtid="{D5CDD505-2E9C-101B-9397-08002B2CF9AE}" pid="6" name="_ReviewingToolsShownOnce">
    <vt:lpwstr/>
  </property>
</Properties>
</file>